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6A88000B"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sidRPr="003E7975">
        <w:rPr>
          <w:rFonts w:ascii="Arial" w:hAnsi="Arial" w:cs="Arial"/>
          <w:b/>
          <w:bCs/>
          <w:color w:val="000000" w:themeColor="text1"/>
          <w:sz w:val="28"/>
        </w:rPr>
        <w:t>#</w:t>
      </w:r>
      <w:r w:rsidR="009D627F" w:rsidRPr="003E7975">
        <w:rPr>
          <w:rFonts w:ascii="Arial" w:hAnsi="Arial" w:cs="Arial" w:hint="eastAsia"/>
          <w:b/>
          <w:bCs/>
          <w:color w:val="000000" w:themeColor="text1"/>
          <w:sz w:val="28"/>
          <w:lang w:eastAsia="zh-CN"/>
        </w:rPr>
        <w:t>102e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2348EF" w:rsidRPr="007B4F52">
        <w:rPr>
          <w:rFonts w:ascii="Arial" w:hAnsi="Arial" w:cs="Arial" w:hint="eastAsia"/>
          <w:b/>
          <w:bCs/>
          <w:sz w:val="28"/>
          <w:lang w:eastAsia="zh-CN"/>
        </w:rPr>
        <w:t>20</w:t>
      </w:r>
      <w:r w:rsidR="007B4F52" w:rsidRPr="007B4F52">
        <w:rPr>
          <w:rFonts w:ascii="Arial" w:hAnsi="Arial" w:cs="Arial" w:hint="eastAsia"/>
          <w:b/>
          <w:bCs/>
          <w:sz w:val="28"/>
          <w:lang w:eastAsia="zh-CN"/>
        </w:rPr>
        <w:t>0</w:t>
      </w:r>
      <w:r w:rsidR="007B4F52" w:rsidRPr="007B4F52">
        <w:rPr>
          <w:rFonts w:ascii="Arial" w:hAnsi="Arial" w:cs="Arial"/>
          <w:b/>
          <w:bCs/>
          <w:sz w:val="28"/>
          <w:lang w:eastAsia="zh-CN"/>
        </w:rPr>
        <w:t>5560</w:t>
      </w:r>
    </w:p>
    <w:p w14:paraId="4B25669D" w14:textId="12558976" w:rsidR="00842220" w:rsidRPr="00FC0A61" w:rsidRDefault="003E797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9D627F">
        <w:rPr>
          <w:rFonts w:ascii="Arial" w:hAnsi="Arial" w:cs="Arial"/>
          <w:b/>
          <w:bCs/>
          <w:sz w:val="28"/>
          <w:lang w:eastAsia="zh-CN"/>
        </w:rPr>
        <w:t>August</w:t>
      </w:r>
      <w:r w:rsidR="007065E2">
        <w:rPr>
          <w:rFonts w:ascii="Arial" w:hAnsi="Arial" w:cs="Arial" w:hint="eastAsia"/>
          <w:b/>
          <w:bCs/>
          <w:sz w:val="28"/>
          <w:lang w:eastAsia="zh-CN"/>
        </w:rPr>
        <w:t xml:space="preserve"> </w:t>
      </w:r>
      <w:r>
        <w:rPr>
          <w:rFonts w:ascii="Arial" w:hAnsi="Arial" w:cs="Arial"/>
          <w:b/>
          <w:bCs/>
          <w:sz w:val="28"/>
          <w:lang w:eastAsia="zh-CN"/>
        </w:rPr>
        <w:t>17</w:t>
      </w:r>
      <w:r w:rsidR="00355543">
        <w:rPr>
          <w:rFonts w:ascii="Arial" w:hAnsi="Arial" w:cs="Arial" w:hint="eastAsia"/>
          <w:b/>
          <w:bCs/>
          <w:sz w:val="28"/>
          <w:vertAlign w:val="superscript"/>
          <w:lang w:eastAsia="zh-CN"/>
        </w:rPr>
        <w:t>th</w:t>
      </w:r>
      <w:r>
        <w:rPr>
          <w:rFonts w:ascii="Arial" w:eastAsia="MS Mincho" w:hAnsi="Arial" w:cs="Arial"/>
          <w:b/>
          <w:bCs/>
          <w:sz w:val="28"/>
          <w:lang w:eastAsia="ja-JP"/>
        </w:rPr>
        <w:t>-2</w:t>
      </w:r>
      <w:r w:rsidR="004309F5">
        <w:rPr>
          <w:rFonts w:ascii="Arial" w:eastAsia="MS Mincho" w:hAnsi="Arial" w:cs="Arial"/>
          <w:b/>
          <w:bCs/>
          <w:sz w:val="28"/>
          <w:lang w:eastAsia="ja-JP"/>
        </w:rPr>
        <w:t>8</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C857B8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348EF">
        <w:rPr>
          <w:b/>
          <w:kern w:val="2"/>
          <w:sz w:val="24"/>
          <w:lang w:eastAsia="zh-CN"/>
        </w:rPr>
        <w:t>1.1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7D8B35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Pr>
          <w:b/>
          <w:kern w:val="2"/>
          <w:sz w:val="24"/>
          <w:lang w:eastAsia="zh-CN"/>
        </w:rPr>
        <w:t>Considerations</w:t>
      </w:r>
      <w:r w:rsidR="00A46A20" w:rsidRPr="00A46A20">
        <w:rPr>
          <w:b/>
          <w:kern w:val="2"/>
          <w:sz w:val="24"/>
          <w:lang w:eastAsia="zh-CN"/>
        </w:rPr>
        <w:t xml:space="preserve"> on </w:t>
      </w:r>
      <w:r w:rsidR="002348EF">
        <w:rPr>
          <w:b/>
          <w:kern w:val="2"/>
          <w:sz w:val="24"/>
          <w:lang w:eastAsia="zh-CN"/>
        </w:rPr>
        <w:t xml:space="preserve">the enhancement of </w:t>
      </w:r>
      <w:r w:rsidR="00A46A20" w:rsidRPr="00A46A20">
        <w:rPr>
          <w:b/>
          <w:kern w:val="2"/>
          <w:sz w:val="24"/>
          <w:lang w:eastAsia="zh-CN"/>
        </w:rPr>
        <w:t>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6516762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51027D76" w14:textId="77777777" w:rsidR="002348EF" w:rsidRPr="002348EF" w:rsidRDefault="002348EF" w:rsidP="00135C7A">
            <w:pPr>
              <w:numPr>
                <w:ilvl w:val="0"/>
                <w:numId w:val="8"/>
              </w:numPr>
              <w:autoSpaceDE/>
              <w:autoSpaceDN/>
              <w:adjustRightInd/>
              <w:snapToGrid/>
              <w:spacing w:before="80" w:after="0"/>
              <w:ind w:left="714" w:hanging="357"/>
              <w:jc w:val="left"/>
              <w:rPr>
                <w:rFonts w:eastAsia="MS Gothic"/>
                <w:sz w:val="20"/>
                <w:szCs w:val="24"/>
                <w:lang w:val="x-none"/>
              </w:rPr>
            </w:pPr>
            <w:r w:rsidRPr="002348EF">
              <w:rPr>
                <w:rFonts w:eastAsia="MS Gothic"/>
                <w:sz w:val="20"/>
                <w:szCs w:val="24"/>
                <w:lang w:val="x-none"/>
              </w:rPr>
              <w:t xml:space="preserve">Enhancement on multi-beam operation, mainly targeting FR2 while also applicable to FR1: </w:t>
            </w:r>
          </w:p>
          <w:p w14:paraId="67940B7B" w14:textId="77777777" w:rsidR="002348EF" w:rsidRPr="002348EF" w:rsidRDefault="002348EF" w:rsidP="00135C7A">
            <w:pPr>
              <w:numPr>
                <w:ilvl w:val="1"/>
                <w:numId w:val="8"/>
              </w:numPr>
              <w:autoSpaceDE/>
              <w:autoSpaceDN/>
              <w:adjustRightInd/>
              <w:snapToGrid/>
              <w:spacing w:after="0"/>
              <w:ind w:left="1440"/>
              <w:jc w:val="left"/>
              <w:rPr>
                <w:rFonts w:eastAsia="MS Gothic"/>
                <w:sz w:val="20"/>
                <w:szCs w:val="24"/>
                <w:lang w:val="x-none"/>
              </w:rPr>
            </w:pPr>
            <w:r w:rsidRPr="002348EF">
              <w:rPr>
                <w:rFonts w:eastAsia="MS Gothic"/>
                <w:sz w:val="20"/>
                <w:szCs w:val="24"/>
                <w:lang w:val="x-none"/>
              </w:rPr>
              <w:t>Identify and specify features to facilitate more efficient (lower latency and overhead) DL/UL beam management to support higher intra- and L1/L2-centric inter-cell mobility and/or a larger number of configured TCI states:</w:t>
            </w:r>
          </w:p>
          <w:p w14:paraId="358951F0"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Common beam for data and control transmission/reception for DL and UL, especially for intra-band CA</w:t>
            </w:r>
          </w:p>
          <w:p w14:paraId="70193F5F"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Unified TCI framework for DL and UL beam indication</w:t>
            </w:r>
          </w:p>
          <w:p w14:paraId="13A121E4"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Enhancement on signaling mechanisms for the above features to improve latency and efficiency with more usage of dynamic control signaling (as opposed to RRC)</w:t>
            </w:r>
          </w:p>
          <w:p w14:paraId="4FBD9364" w14:textId="2C08E5BA" w:rsidR="002348EF" w:rsidRPr="002348EF" w:rsidRDefault="002348EF" w:rsidP="00135C7A">
            <w:pPr>
              <w:numPr>
                <w:ilvl w:val="1"/>
                <w:numId w:val="8"/>
              </w:numPr>
              <w:autoSpaceDE/>
              <w:autoSpaceDN/>
              <w:adjustRightInd/>
              <w:snapToGrid/>
              <w:ind w:left="1434" w:hanging="357"/>
              <w:jc w:val="left"/>
              <w:rPr>
                <w:rFonts w:eastAsia="MS Gothic"/>
                <w:sz w:val="20"/>
                <w:szCs w:val="24"/>
                <w:lang w:val="x-none"/>
              </w:rPr>
            </w:pPr>
            <w:r w:rsidRPr="002348EF">
              <w:rPr>
                <w:rFonts w:eastAsia="MS Gothic"/>
                <w:sz w:val="20"/>
                <w:szCs w:val="24"/>
                <w:lang w:val="x-none"/>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3FEBDE8" w14:textId="4ED98CDB" w:rsidR="004C12F6" w:rsidRPr="00C43D48" w:rsidRDefault="00C1407F" w:rsidP="00AE0D4D">
      <w:pPr>
        <w:spacing w:before="8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on </w:t>
      </w:r>
      <w:r w:rsidR="003D087B" w:rsidRPr="00C43D48">
        <w:rPr>
          <w:sz w:val="20"/>
          <w:lang w:eastAsia="zh-CN"/>
        </w:rPr>
        <w:t xml:space="preserve">the </w:t>
      </w:r>
      <w:r w:rsidR="00C8502B">
        <w:rPr>
          <w:sz w:val="20"/>
          <w:lang w:eastAsia="zh-CN"/>
        </w:rPr>
        <w:t xml:space="preserve">enhancement of </w:t>
      </w:r>
      <w:r w:rsidR="00D8178C">
        <w:rPr>
          <w:sz w:val="20"/>
          <w:lang w:eastAsia="zh-CN"/>
        </w:rPr>
        <w:t xml:space="preserve">multi-beam operation </w:t>
      </w:r>
      <w:r w:rsidR="00C8502B">
        <w:rPr>
          <w:sz w:val="20"/>
          <w:lang w:eastAsia="zh-CN"/>
        </w:rPr>
        <w:t xml:space="preserve">in </w:t>
      </w:r>
      <w:r w:rsidR="00C2080A" w:rsidRPr="00C43D48">
        <w:rPr>
          <w:sz w:val="20"/>
          <w:lang w:eastAsia="zh-CN"/>
        </w:rPr>
        <w:t>Rel.1</w:t>
      </w:r>
      <w:r w:rsidR="002348EF">
        <w:rPr>
          <w:sz w:val="20"/>
          <w:lang w:eastAsia="zh-CN"/>
        </w:rPr>
        <w:t>7</w:t>
      </w:r>
      <w:r w:rsidR="004C12F6" w:rsidRPr="00C43D48">
        <w:rPr>
          <w:sz w:val="20"/>
          <w:lang w:eastAsia="zh-CN"/>
        </w:rPr>
        <w:t>.</w:t>
      </w:r>
    </w:p>
    <w:p w14:paraId="618DDCF7" w14:textId="03A89637" w:rsidR="001902B6" w:rsidRPr="00C925AA" w:rsidRDefault="001902B6" w:rsidP="00C925AA">
      <w:pPr>
        <w:pStyle w:val="Heading1"/>
        <w:rPr>
          <w:sz w:val="24"/>
          <w:lang w:eastAsia="ja-JP"/>
        </w:rPr>
      </w:pPr>
      <w:r w:rsidRPr="00C925AA">
        <w:rPr>
          <w:sz w:val="24"/>
          <w:lang w:eastAsia="ja-JP"/>
        </w:rPr>
        <w:t>L1/L2 inter-cell mobility</w:t>
      </w:r>
    </w:p>
    <w:p w14:paraId="58A22D98" w14:textId="77777777" w:rsidR="00C63DD4" w:rsidRDefault="00C63DD4" w:rsidP="00C63DD4">
      <w:pPr>
        <w:rPr>
          <w:sz w:val="20"/>
          <w:lang w:eastAsia="ja-JP"/>
        </w:rPr>
      </w:pPr>
      <w:r>
        <w:rPr>
          <w:sz w:val="20"/>
          <w:lang w:eastAsia="ja-JP"/>
        </w:rPr>
        <w:t xml:space="preserve">In Rel.15/16 NR, the intra-cell mobility was supported and enhanced on a per-beam basis. In the WID of Rel.17, RAN plans to support the inter-cell mobility with as less latency as possible, i.e. by using the L1/L2 signaling, not relying on conventional handover procedure which basically involves RRC signaling and suffers from large latency. The general handover procedure for UE in RRC_CONNECTED in TS 38.300 can be found in </w:t>
      </w:r>
      <w:r>
        <w:rPr>
          <w:sz w:val="20"/>
          <w:lang w:eastAsia="ja-JP"/>
        </w:rPr>
        <w:fldChar w:fldCharType="begin"/>
      </w:r>
      <w:r>
        <w:rPr>
          <w:sz w:val="20"/>
          <w:lang w:eastAsia="ja-JP"/>
        </w:rPr>
        <w:instrText xml:space="preserve"> REF _Ref44231954 \r \h </w:instrText>
      </w:r>
      <w:r>
        <w:rPr>
          <w:sz w:val="20"/>
          <w:lang w:eastAsia="ja-JP"/>
        </w:rPr>
      </w:r>
      <w:r>
        <w:rPr>
          <w:sz w:val="20"/>
          <w:lang w:eastAsia="ja-JP"/>
        </w:rPr>
        <w:fldChar w:fldCharType="separate"/>
      </w:r>
      <w:r>
        <w:rPr>
          <w:sz w:val="20"/>
          <w:lang w:eastAsia="ja-JP"/>
        </w:rPr>
        <w:t>Figure 1</w:t>
      </w:r>
      <w:r>
        <w:rPr>
          <w:sz w:val="20"/>
          <w:lang w:eastAsia="ja-JP"/>
        </w:rPr>
        <w:fldChar w:fldCharType="end"/>
      </w:r>
      <w:r>
        <w:rPr>
          <w:sz w:val="20"/>
          <w:lang w:eastAsia="ja-JP"/>
        </w:rPr>
        <w:t>.</w:t>
      </w:r>
    </w:p>
    <w:p w14:paraId="325CCBC0" w14:textId="77777777" w:rsidR="00F61267" w:rsidRDefault="00F61267" w:rsidP="00F61267">
      <w:pPr>
        <w:jc w:val="center"/>
        <w:rPr>
          <w:noProof/>
        </w:rPr>
      </w:pPr>
      <w:r w:rsidRPr="00653C72">
        <w:rPr>
          <w:noProof/>
        </w:rPr>
        <w:object w:dxaOrig="9360" w:dyaOrig="4140" w14:anchorId="05CD5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pt;height:145.45pt" o:ole="">
            <v:imagedata r:id="rId9" o:title=""/>
          </v:shape>
          <o:OLEObject Type="Embed" ProgID="Mscgen.Chart" ShapeID="_x0000_i1025" DrawAspect="Content" ObjectID="_1658317674" r:id="rId10"/>
        </w:object>
      </w:r>
    </w:p>
    <w:p w14:paraId="670D56F1" w14:textId="4BC81DB8" w:rsidR="00F61267" w:rsidRPr="00C925AA" w:rsidRDefault="00F61267" w:rsidP="00C925AA">
      <w:pPr>
        <w:pStyle w:val="ListParagraph"/>
        <w:numPr>
          <w:ilvl w:val="0"/>
          <w:numId w:val="13"/>
        </w:numPr>
        <w:spacing w:after="120"/>
        <w:ind w:left="357" w:hanging="357"/>
        <w:jc w:val="center"/>
        <w:rPr>
          <w:rFonts w:ascii="Times New Roman" w:hAnsi="Times New Roman" w:cs="Times New Roman"/>
          <w:b/>
          <w:sz w:val="18"/>
          <w:lang w:eastAsia="ja-JP"/>
        </w:rPr>
      </w:pPr>
      <w:bookmarkStart w:id="0" w:name="_Ref44231954"/>
      <w:r w:rsidRPr="00C925AA">
        <w:rPr>
          <w:rFonts w:ascii="Times New Roman" w:hAnsi="Times New Roman" w:cs="Times New Roman"/>
          <w:b/>
          <w:sz w:val="18"/>
          <w:lang w:eastAsia="ja-JP"/>
        </w:rPr>
        <w:t xml:space="preserve">: </w:t>
      </w:r>
      <w:bookmarkStart w:id="1" w:name="_Ref44231903"/>
      <w:r w:rsidRPr="00C925AA">
        <w:rPr>
          <w:rFonts w:ascii="Times New Roman" w:hAnsi="Times New Roman" w:cs="Times New Roman"/>
          <w:b/>
          <w:sz w:val="18"/>
          <w:lang w:eastAsia="ja-JP"/>
        </w:rPr>
        <w:t>RRC involved inter-cell mobility</w:t>
      </w:r>
      <w:bookmarkEnd w:id="0"/>
      <w:bookmarkEnd w:id="1"/>
    </w:p>
    <w:p w14:paraId="4641351F" w14:textId="1B1E3380" w:rsidR="00C925AA" w:rsidRDefault="00C63DD4" w:rsidP="00600971">
      <w:pPr>
        <w:rPr>
          <w:sz w:val="20"/>
          <w:lang w:eastAsia="ja-JP"/>
        </w:rPr>
      </w:pPr>
      <w:r>
        <w:rPr>
          <w:sz w:val="20"/>
          <w:lang w:eastAsia="ja-JP"/>
        </w:rPr>
        <w:t>The motivation for introducing this L1/L2-centric inter-cell mobility is to address an issue associated with a moderate- to high-speed UE that intends to cross the border of its serving cell and enter the coverage of a non-serving cell. The benefit comes from avoiding the undesirably large latency of RRC signaling before the UE establishes beam-level connection with a target cell. Instead, by reusing the initial RRC configuration (no need to re-configure), L1/L2 signaling can be applied to conduct beam management with the target cell as early as possible.</w:t>
      </w:r>
    </w:p>
    <w:p w14:paraId="2F72C59C" w14:textId="1E2EF351" w:rsidR="00242DDE" w:rsidRPr="00C925AA" w:rsidRDefault="00C925AA" w:rsidP="00600971">
      <w:pPr>
        <w:rPr>
          <w:color w:val="808080" w:themeColor="background1" w:themeShade="80"/>
          <w:sz w:val="20"/>
          <w:lang w:eastAsia="ja-JP"/>
        </w:rPr>
      </w:pPr>
      <w:r>
        <w:rPr>
          <w:color w:val="000000" w:themeColor="text1"/>
          <w:sz w:val="20"/>
          <w:lang w:eastAsia="ja-JP"/>
        </w:rPr>
        <w:t>Conventionally, t</w:t>
      </w:r>
      <w:r w:rsidRPr="00C925AA">
        <w:rPr>
          <w:color w:val="000000" w:themeColor="text1"/>
          <w:sz w:val="20"/>
          <w:lang w:eastAsia="ja-JP"/>
        </w:rPr>
        <w:t xml:space="preserve">he </w:t>
      </w:r>
      <w:r>
        <w:rPr>
          <w:color w:val="000000" w:themeColor="text1"/>
          <w:sz w:val="20"/>
          <w:lang w:eastAsia="ja-JP"/>
        </w:rPr>
        <w:t xml:space="preserve">procedure of </w:t>
      </w:r>
      <w:r w:rsidRPr="00C925AA">
        <w:rPr>
          <w:color w:val="000000" w:themeColor="text1"/>
          <w:sz w:val="20"/>
          <w:lang w:eastAsia="ja-JP"/>
        </w:rPr>
        <w:t xml:space="preserve">beam management </w:t>
      </w:r>
      <w:r>
        <w:rPr>
          <w:color w:val="000000" w:themeColor="text1"/>
          <w:sz w:val="20"/>
          <w:lang w:eastAsia="ja-JP"/>
        </w:rPr>
        <w:t xml:space="preserve">may </w:t>
      </w:r>
      <w:r w:rsidRPr="00C925AA">
        <w:rPr>
          <w:color w:val="000000" w:themeColor="text1"/>
          <w:sz w:val="20"/>
          <w:lang w:eastAsia="ja-JP"/>
        </w:rPr>
        <w:t>include the following steps</w:t>
      </w:r>
      <w:r w:rsidR="00C63DD4">
        <w:rPr>
          <w:color w:val="000000" w:themeColor="text1"/>
          <w:sz w:val="20"/>
          <w:lang w:eastAsia="ja-JP"/>
        </w:rPr>
        <w:t>:</w:t>
      </w:r>
      <w:r w:rsidRPr="00C925AA">
        <w:rPr>
          <w:color w:val="000000" w:themeColor="text1"/>
          <w:sz w:val="20"/>
          <w:lang w:eastAsia="ja-JP"/>
        </w:rPr>
        <w:t xml:space="preserve"> beam measurement, beam reporting and beam indication. </w:t>
      </w:r>
      <w:r>
        <w:rPr>
          <w:sz w:val="20"/>
          <w:lang w:eastAsia="ja-JP"/>
        </w:rPr>
        <w:t>Without the involvement of L3 signaling</w:t>
      </w:r>
      <w:r w:rsidR="000F147F">
        <w:rPr>
          <w:sz w:val="20"/>
          <w:lang w:eastAsia="ja-JP"/>
        </w:rPr>
        <w:t xml:space="preserve"> during handover procedure</w:t>
      </w:r>
      <w:r w:rsidR="00390DFE">
        <w:rPr>
          <w:sz w:val="20"/>
          <w:lang w:eastAsia="ja-JP"/>
        </w:rPr>
        <w:t xml:space="preserve">, </w:t>
      </w:r>
      <w:r>
        <w:rPr>
          <w:sz w:val="20"/>
          <w:lang w:eastAsia="ja-JP"/>
        </w:rPr>
        <w:t xml:space="preserve">let’s reconsider </w:t>
      </w:r>
      <w:r w:rsidR="00C63DD4">
        <w:rPr>
          <w:sz w:val="20"/>
          <w:lang w:eastAsia="ja-JP"/>
        </w:rPr>
        <w:t>these</w:t>
      </w:r>
      <w:r w:rsidR="00390DFE">
        <w:rPr>
          <w:sz w:val="20"/>
          <w:lang w:eastAsia="ja-JP"/>
        </w:rPr>
        <w:t xml:space="preserve"> aspects.</w:t>
      </w:r>
    </w:p>
    <w:p w14:paraId="0B7C0F56" w14:textId="7EDEDE8F" w:rsidR="00E3020B" w:rsidRPr="00E3020B" w:rsidRDefault="00F42C0A" w:rsidP="00600971">
      <w:pPr>
        <w:rPr>
          <w:b/>
          <w:sz w:val="20"/>
          <w:u w:val="single"/>
          <w:lang w:eastAsia="ja-JP"/>
        </w:rPr>
      </w:pPr>
      <w:r>
        <w:rPr>
          <w:b/>
          <w:sz w:val="20"/>
          <w:u w:val="single"/>
          <w:lang w:eastAsia="ja-JP"/>
        </w:rPr>
        <w:lastRenderedPageBreak/>
        <w:t>Beam m</w:t>
      </w:r>
      <w:r w:rsidR="00E3020B" w:rsidRPr="00E3020B">
        <w:rPr>
          <w:b/>
          <w:sz w:val="20"/>
          <w:u w:val="single"/>
          <w:lang w:eastAsia="ja-JP"/>
        </w:rPr>
        <w:t>easurement</w:t>
      </w:r>
    </w:p>
    <w:p w14:paraId="3D0FE9F3" w14:textId="03B1F46A" w:rsidR="00C3512F" w:rsidRDefault="000333ED" w:rsidP="00600971">
      <w:pPr>
        <w:rPr>
          <w:sz w:val="20"/>
          <w:lang w:eastAsia="zh-CN"/>
        </w:rPr>
      </w:pPr>
      <w:r>
        <w:rPr>
          <w:sz w:val="20"/>
          <w:lang w:eastAsia="ja-JP"/>
        </w:rPr>
        <w:t xml:space="preserve">Without QCL assumption or </w:t>
      </w:r>
      <w:r w:rsidR="002A14F5">
        <w:rPr>
          <w:sz w:val="20"/>
          <w:lang w:eastAsia="ja-JP"/>
        </w:rPr>
        <w:t xml:space="preserve">TCI </w:t>
      </w:r>
      <w:r>
        <w:rPr>
          <w:sz w:val="20"/>
          <w:lang w:eastAsia="ja-JP"/>
        </w:rPr>
        <w:t>state</w:t>
      </w:r>
      <w:r w:rsidR="000F147F">
        <w:rPr>
          <w:sz w:val="20"/>
          <w:lang w:eastAsia="ja-JP"/>
        </w:rPr>
        <w:t>s</w:t>
      </w:r>
      <w:r>
        <w:rPr>
          <w:sz w:val="20"/>
          <w:lang w:eastAsia="ja-JP"/>
        </w:rPr>
        <w:t xml:space="preserve"> </w:t>
      </w:r>
      <w:r w:rsidR="000F147F">
        <w:rPr>
          <w:sz w:val="20"/>
          <w:lang w:eastAsia="ja-JP"/>
        </w:rPr>
        <w:t xml:space="preserve">configuration </w:t>
      </w:r>
      <w:r>
        <w:rPr>
          <w:sz w:val="20"/>
          <w:lang w:eastAsia="ja-JP"/>
        </w:rPr>
        <w:t xml:space="preserve">from </w:t>
      </w:r>
      <w:r w:rsidRPr="000333ED">
        <w:rPr>
          <w:i/>
          <w:sz w:val="20"/>
          <w:lang w:eastAsia="ja-JP"/>
        </w:rPr>
        <w:t>RRCReconfiguration</w:t>
      </w:r>
      <w:r w:rsidR="00754BB3">
        <w:rPr>
          <w:sz w:val="20"/>
          <w:lang w:eastAsia="ja-JP"/>
        </w:rPr>
        <w:t xml:space="preserve">, the measurement </w:t>
      </w:r>
      <w:r w:rsidR="000F147F">
        <w:rPr>
          <w:sz w:val="20"/>
          <w:lang w:eastAsia="ja-JP"/>
        </w:rPr>
        <w:t xml:space="preserve">setting </w:t>
      </w:r>
      <w:r w:rsidR="00754BB3">
        <w:rPr>
          <w:sz w:val="20"/>
          <w:lang w:eastAsia="ja-JP"/>
        </w:rPr>
        <w:t xml:space="preserve">of RRM can be </w:t>
      </w:r>
      <w:r w:rsidR="00785CDD">
        <w:rPr>
          <w:sz w:val="20"/>
          <w:lang w:eastAsia="ja-JP"/>
        </w:rPr>
        <w:t>leveraged</w:t>
      </w:r>
      <w:r w:rsidR="00754BB3">
        <w:rPr>
          <w:sz w:val="20"/>
          <w:lang w:eastAsia="ja-JP"/>
        </w:rPr>
        <w:t xml:space="preserve"> by a UE</w:t>
      </w:r>
      <w:r w:rsidR="00785CDD">
        <w:rPr>
          <w:sz w:val="20"/>
          <w:lang w:eastAsia="ja-JP"/>
        </w:rPr>
        <w:t xml:space="preserve"> to</w:t>
      </w:r>
      <w:r w:rsidR="00711721">
        <w:rPr>
          <w:sz w:val="20"/>
          <w:lang w:eastAsia="ja-JP"/>
        </w:rPr>
        <w:t xml:space="preserve"> find out proper DL beam</w:t>
      </w:r>
      <w:r w:rsidR="000F147F">
        <w:rPr>
          <w:sz w:val="20"/>
          <w:lang w:eastAsia="ja-JP"/>
        </w:rPr>
        <w:t>(s)</w:t>
      </w:r>
      <w:r w:rsidR="00711721">
        <w:rPr>
          <w:sz w:val="20"/>
          <w:lang w:eastAsia="ja-JP"/>
        </w:rPr>
        <w:t xml:space="preserve"> from </w:t>
      </w:r>
      <w:r w:rsidR="00785CDD">
        <w:rPr>
          <w:sz w:val="20"/>
          <w:lang w:eastAsia="ja-JP"/>
        </w:rPr>
        <w:t>non-serving cell</w:t>
      </w:r>
      <w:r w:rsidR="00711721">
        <w:rPr>
          <w:sz w:val="20"/>
          <w:lang w:eastAsia="ja-JP"/>
        </w:rPr>
        <w:t>(s)</w:t>
      </w:r>
      <w:r w:rsidR="000F147F">
        <w:rPr>
          <w:sz w:val="20"/>
          <w:lang w:eastAsia="ja-JP"/>
        </w:rPr>
        <w:t>. More specifically</w:t>
      </w:r>
      <w:r w:rsidR="00754BB3">
        <w:rPr>
          <w:sz w:val="20"/>
          <w:lang w:eastAsia="ja-JP"/>
        </w:rPr>
        <w:t xml:space="preserve"> </w:t>
      </w:r>
      <w:r w:rsidR="000F147F">
        <w:rPr>
          <w:sz w:val="20"/>
          <w:lang w:eastAsia="ja-JP"/>
        </w:rPr>
        <w:t xml:space="preserve">during initial RRC configuration, </w:t>
      </w:r>
      <w:r w:rsidR="00754BB3">
        <w:rPr>
          <w:rFonts w:hint="eastAsia"/>
          <w:sz w:val="20"/>
          <w:lang w:eastAsia="zh-CN"/>
        </w:rPr>
        <w:t>the</w:t>
      </w:r>
      <w:r w:rsidR="00754BB3">
        <w:rPr>
          <w:sz w:val="20"/>
          <w:lang w:eastAsia="zh-CN"/>
        </w:rPr>
        <w:t xml:space="preserve"> UE can be </w:t>
      </w:r>
      <w:r w:rsidR="00785CDD">
        <w:rPr>
          <w:sz w:val="20"/>
          <w:lang w:eastAsia="zh-CN"/>
        </w:rPr>
        <w:t>pre-</w:t>
      </w:r>
      <w:r w:rsidR="00754BB3">
        <w:rPr>
          <w:sz w:val="20"/>
          <w:lang w:eastAsia="zh-CN"/>
        </w:rPr>
        <w:t xml:space="preserve">configured to measure SSB and/or CSI-RS </w:t>
      </w:r>
      <w:r w:rsidR="000F147F">
        <w:rPr>
          <w:sz w:val="20"/>
          <w:lang w:eastAsia="zh-CN"/>
        </w:rPr>
        <w:t xml:space="preserve">resources </w:t>
      </w:r>
      <w:r w:rsidR="00754BB3">
        <w:rPr>
          <w:sz w:val="20"/>
          <w:lang w:eastAsia="zh-CN"/>
        </w:rPr>
        <w:t>from non-serving cell</w:t>
      </w:r>
      <w:r w:rsidR="00A6230F">
        <w:rPr>
          <w:sz w:val="20"/>
          <w:lang w:eastAsia="zh-CN"/>
        </w:rPr>
        <w:t xml:space="preserve">(s) with </w:t>
      </w:r>
      <w:r w:rsidR="00711721">
        <w:rPr>
          <w:sz w:val="20"/>
          <w:lang w:eastAsia="zh-CN"/>
        </w:rPr>
        <w:t xml:space="preserve">pre-configured </w:t>
      </w:r>
      <w:r w:rsidR="000F147F">
        <w:rPr>
          <w:sz w:val="20"/>
          <w:lang w:eastAsia="zh-CN"/>
        </w:rPr>
        <w:t>L3 filtering</w:t>
      </w:r>
      <w:r w:rsidR="00A6230F">
        <w:rPr>
          <w:sz w:val="20"/>
          <w:lang w:eastAsia="zh-CN"/>
        </w:rPr>
        <w:t xml:space="preserve">. </w:t>
      </w:r>
      <w:r w:rsidR="000F147F">
        <w:rPr>
          <w:sz w:val="20"/>
          <w:lang w:eastAsia="zh-CN"/>
        </w:rPr>
        <w:t xml:space="preserve">Moreover, </w:t>
      </w:r>
      <w:r w:rsidR="00711721">
        <w:rPr>
          <w:sz w:val="20"/>
          <w:lang w:eastAsia="zh-CN"/>
        </w:rPr>
        <w:t xml:space="preserve">if </w:t>
      </w:r>
      <w:r w:rsidR="00327DC2">
        <w:rPr>
          <w:sz w:val="20"/>
          <w:lang w:eastAsia="zh-CN"/>
        </w:rPr>
        <w:t xml:space="preserve">these </w:t>
      </w:r>
      <w:r w:rsidR="000F147F">
        <w:rPr>
          <w:sz w:val="20"/>
          <w:lang w:eastAsia="zh-CN"/>
        </w:rPr>
        <w:t>RS resources</w:t>
      </w:r>
      <w:r w:rsidR="002A14F5">
        <w:rPr>
          <w:sz w:val="20"/>
          <w:lang w:eastAsia="zh-CN"/>
        </w:rPr>
        <w:t xml:space="preserve"> </w:t>
      </w:r>
      <w:r w:rsidR="000F147F">
        <w:rPr>
          <w:sz w:val="20"/>
          <w:lang w:eastAsia="zh-CN"/>
        </w:rPr>
        <w:t xml:space="preserve">associated with RRM or detected by UE </w:t>
      </w:r>
      <w:r w:rsidR="002A14F5">
        <w:rPr>
          <w:sz w:val="20"/>
          <w:lang w:eastAsia="zh-CN"/>
        </w:rPr>
        <w:t xml:space="preserve">can be configured into TCI </w:t>
      </w:r>
      <w:r w:rsidR="00327DC2">
        <w:rPr>
          <w:sz w:val="20"/>
          <w:lang w:eastAsia="zh-CN"/>
        </w:rPr>
        <w:t>state</w:t>
      </w:r>
      <w:r w:rsidR="000F147F">
        <w:rPr>
          <w:sz w:val="20"/>
          <w:lang w:eastAsia="zh-CN"/>
        </w:rPr>
        <w:t>s or applied as QCL assumptions</w:t>
      </w:r>
      <w:r w:rsidR="00327DC2">
        <w:rPr>
          <w:sz w:val="20"/>
          <w:lang w:eastAsia="zh-CN"/>
        </w:rPr>
        <w:t xml:space="preserve"> in DL</w:t>
      </w:r>
      <w:r w:rsidR="000F147F">
        <w:rPr>
          <w:sz w:val="20"/>
          <w:lang w:eastAsia="zh-CN"/>
        </w:rPr>
        <w:t xml:space="preserve"> and/or </w:t>
      </w:r>
      <w:r w:rsidR="00711721">
        <w:rPr>
          <w:sz w:val="20"/>
          <w:lang w:eastAsia="zh-CN"/>
        </w:rPr>
        <w:t xml:space="preserve">spatial relation in UL, the L1/L2 method can </w:t>
      </w:r>
      <w:r w:rsidR="000F147F">
        <w:rPr>
          <w:sz w:val="20"/>
          <w:lang w:eastAsia="zh-CN"/>
        </w:rPr>
        <w:t xml:space="preserve">then </w:t>
      </w:r>
      <w:r w:rsidR="00711721">
        <w:rPr>
          <w:sz w:val="20"/>
          <w:lang w:eastAsia="zh-CN"/>
        </w:rPr>
        <w:t>be enabled</w:t>
      </w:r>
      <w:r w:rsidR="000F147F">
        <w:rPr>
          <w:sz w:val="20"/>
          <w:lang w:eastAsia="zh-CN"/>
        </w:rPr>
        <w:t xml:space="preserve"> accordingly</w:t>
      </w:r>
      <w:r w:rsidR="00711721">
        <w:rPr>
          <w:sz w:val="20"/>
          <w:lang w:eastAsia="zh-CN"/>
        </w:rPr>
        <w:t xml:space="preserve">. </w:t>
      </w:r>
    </w:p>
    <w:p w14:paraId="573F7190" w14:textId="7F7D8672" w:rsidR="00E3020B" w:rsidRDefault="00F42C0A" w:rsidP="00E3020B">
      <w:pPr>
        <w:rPr>
          <w:b/>
          <w:sz w:val="20"/>
          <w:u w:val="single"/>
          <w:lang w:eastAsia="ja-JP"/>
        </w:rPr>
      </w:pPr>
      <w:r>
        <w:rPr>
          <w:b/>
          <w:sz w:val="20"/>
          <w:u w:val="single"/>
          <w:lang w:eastAsia="ja-JP"/>
        </w:rPr>
        <w:t>Beam r</w:t>
      </w:r>
      <w:r w:rsidR="00E3020B">
        <w:rPr>
          <w:b/>
          <w:sz w:val="20"/>
          <w:u w:val="single"/>
          <w:lang w:eastAsia="ja-JP"/>
        </w:rPr>
        <w:t>eporting</w:t>
      </w:r>
    </w:p>
    <w:p w14:paraId="3F13AA89" w14:textId="4035BFB6" w:rsidR="00E3020B" w:rsidRPr="00E3020B" w:rsidRDefault="00E3020B" w:rsidP="00E3020B">
      <w:pPr>
        <w:rPr>
          <w:sz w:val="20"/>
          <w:lang w:eastAsia="ja-JP"/>
        </w:rPr>
      </w:pPr>
      <w:r w:rsidRPr="00E3020B">
        <w:rPr>
          <w:sz w:val="20"/>
          <w:lang w:eastAsia="ja-JP"/>
        </w:rPr>
        <w:t>When</w:t>
      </w:r>
      <w:r w:rsidR="0060508A">
        <w:rPr>
          <w:sz w:val="20"/>
          <w:lang w:eastAsia="ja-JP"/>
        </w:rPr>
        <w:t xml:space="preserve"> any of </w:t>
      </w:r>
      <w:r w:rsidR="00E87391">
        <w:rPr>
          <w:sz w:val="20"/>
          <w:lang w:eastAsia="ja-JP"/>
        </w:rPr>
        <w:t>triggering condition</w:t>
      </w:r>
      <w:r w:rsidR="0060508A">
        <w:rPr>
          <w:sz w:val="20"/>
          <w:lang w:eastAsia="ja-JP"/>
        </w:rPr>
        <w:t>s</w:t>
      </w:r>
      <w:r w:rsidR="00E87391">
        <w:rPr>
          <w:sz w:val="20"/>
          <w:lang w:eastAsia="ja-JP"/>
        </w:rPr>
        <w:t xml:space="preserve"> </w:t>
      </w:r>
      <w:r w:rsidR="0060508A">
        <w:rPr>
          <w:sz w:val="20"/>
          <w:lang w:eastAsia="ja-JP"/>
        </w:rPr>
        <w:t xml:space="preserve">of inter-cell </w:t>
      </w:r>
      <w:r w:rsidR="000F147F">
        <w:rPr>
          <w:sz w:val="20"/>
          <w:lang w:eastAsia="ja-JP"/>
        </w:rPr>
        <w:t>handover</w:t>
      </w:r>
      <w:r w:rsidR="0060508A">
        <w:rPr>
          <w:sz w:val="20"/>
          <w:lang w:eastAsia="ja-JP"/>
        </w:rPr>
        <w:t xml:space="preserve"> has been satisfied,</w:t>
      </w:r>
      <w:r w:rsidR="00E87391">
        <w:rPr>
          <w:sz w:val="20"/>
          <w:lang w:eastAsia="ja-JP"/>
        </w:rPr>
        <w:t xml:space="preserve"> </w:t>
      </w:r>
      <w:r w:rsidR="000F147F">
        <w:rPr>
          <w:sz w:val="20"/>
          <w:lang w:eastAsia="ja-JP"/>
        </w:rPr>
        <w:t xml:space="preserve">a </w:t>
      </w:r>
      <w:r w:rsidR="00E87391">
        <w:rPr>
          <w:sz w:val="20"/>
          <w:lang w:eastAsia="ja-JP"/>
        </w:rPr>
        <w:t xml:space="preserve">UE </w:t>
      </w:r>
      <w:r w:rsidR="0060508A">
        <w:rPr>
          <w:sz w:val="20"/>
          <w:lang w:eastAsia="ja-JP"/>
        </w:rPr>
        <w:t xml:space="preserve">may </w:t>
      </w:r>
      <w:r w:rsidR="00E87391">
        <w:rPr>
          <w:sz w:val="20"/>
          <w:lang w:eastAsia="ja-JP"/>
        </w:rPr>
        <w:t xml:space="preserve">report the </w:t>
      </w:r>
      <w:r w:rsidR="000F147F">
        <w:rPr>
          <w:sz w:val="20"/>
          <w:lang w:eastAsia="ja-JP"/>
        </w:rPr>
        <w:t>L3-</w:t>
      </w:r>
      <w:r w:rsidR="0060508A">
        <w:rPr>
          <w:sz w:val="20"/>
          <w:lang w:eastAsia="ja-JP"/>
        </w:rPr>
        <w:t xml:space="preserve">filtered </w:t>
      </w:r>
      <w:r w:rsidR="00E87391">
        <w:rPr>
          <w:sz w:val="20"/>
          <w:lang w:eastAsia="ja-JP"/>
        </w:rPr>
        <w:t xml:space="preserve">RSRP to NW. </w:t>
      </w:r>
      <w:r w:rsidR="00F10E66">
        <w:rPr>
          <w:sz w:val="20"/>
          <w:lang w:eastAsia="ja-JP"/>
        </w:rPr>
        <w:t xml:space="preserve">In addition, the results of L1-related measurement can be reported as well. </w:t>
      </w:r>
      <w:r w:rsidR="000F147F">
        <w:rPr>
          <w:sz w:val="20"/>
          <w:lang w:eastAsia="ja-JP"/>
        </w:rPr>
        <w:t xml:space="preserve">From the perspective of latency, L3-RSRP reporting normally </w:t>
      </w:r>
      <w:r w:rsidR="008F3E4A">
        <w:rPr>
          <w:sz w:val="20"/>
          <w:lang w:eastAsia="ja-JP"/>
        </w:rPr>
        <w:t>takes longer time</w:t>
      </w:r>
      <w:r w:rsidR="000F147F">
        <w:rPr>
          <w:sz w:val="20"/>
          <w:lang w:eastAsia="ja-JP"/>
        </w:rPr>
        <w:t xml:space="preserve"> than L1-RSRP reporting. But on the other hand, the stability of L3-RSRP is better than that of L1-RSRP in making handover decision. It seems no harm to allow both L3-RSRP and L1-RSRP reporting and it is up to NW on selecting which results for inter-cell mobility purpose.</w:t>
      </w:r>
    </w:p>
    <w:p w14:paraId="55A5BDA5" w14:textId="57445DFC" w:rsidR="00C3512F" w:rsidRPr="00E3020B" w:rsidRDefault="00F42C0A" w:rsidP="00600971">
      <w:pPr>
        <w:rPr>
          <w:b/>
          <w:sz w:val="20"/>
          <w:u w:val="single"/>
          <w:lang w:eastAsia="ja-JP"/>
        </w:rPr>
      </w:pPr>
      <w:r>
        <w:rPr>
          <w:b/>
          <w:sz w:val="20"/>
          <w:u w:val="single"/>
          <w:lang w:eastAsia="ja-JP"/>
        </w:rPr>
        <w:t>Beam i</w:t>
      </w:r>
      <w:r w:rsidR="00E3020B">
        <w:rPr>
          <w:b/>
          <w:sz w:val="20"/>
          <w:u w:val="single"/>
          <w:lang w:eastAsia="ja-JP"/>
        </w:rPr>
        <w:t>ndication</w:t>
      </w:r>
    </w:p>
    <w:p w14:paraId="75D355BE" w14:textId="4DD3C543" w:rsidR="003D2037" w:rsidRDefault="009B1999" w:rsidP="00600971">
      <w:pPr>
        <w:rPr>
          <w:sz w:val="20"/>
          <w:lang w:eastAsia="zh-CN"/>
        </w:rPr>
      </w:pPr>
      <w:r>
        <w:rPr>
          <w:sz w:val="20"/>
          <w:lang w:eastAsia="zh-CN"/>
        </w:rPr>
        <w:t>Based on</w:t>
      </w:r>
      <w:r w:rsidR="00994E4C">
        <w:rPr>
          <w:sz w:val="20"/>
          <w:lang w:eastAsia="zh-CN"/>
        </w:rPr>
        <w:t xml:space="preserve"> the Rel.15/16 </w:t>
      </w:r>
      <w:r w:rsidR="00C3512F">
        <w:rPr>
          <w:sz w:val="20"/>
          <w:lang w:eastAsia="zh-CN"/>
        </w:rPr>
        <w:t>framework</w:t>
      </w:r>
      <w:r w:rsidR="0082316E">
        <w:rPr>
          <w:sz w:val="20"/>
          <w:lang w:eastAsia="zh-CN"/>
        </w:rPr>
        <w:t xml:space="preserve"> of beam indication</w:t>
      </w:r>
      <w:r w:rsidR="00FD7FF2">
        <w:rPr>
          <w:sz w:val="20"/>
          <w:lang w:eastAsia="zh-CN"/>
        </w:rPr>
        <w:t xml:space="preserve">, </w:t>
      </w:r>
      <w:r>
        <w:rPr>
          <w:sz w:val="20"/>
          <w:lang w:eastAsia="zh-CN"/>
        </w:rPr>
        <w:t xml:space="preserve">one simple modification can be implemented </w:t>
      </w:r>
      <w:r w:rsidR="0082316E">
        <w:rPr>
          <w:sz w:val="20"/>
          <w:lang w:eastAsia="zh-CN"/>
        </w:rPr>
        <w:t xml:space="preserve">to support beam indication from non-serving cell(s). Taking the </w:t>
      </w:r>
      <w:r w:rsidR="002A14F5">
        <w:rPr>
          <w:sz w:val="20"/>
          <w:lang w:eastAsia="zh-CN"/>
        </w:rPr>
        <w:t xml:space="preserve">TCI </w:t>
      </w:r>
      <w:r w:rsidR="0082316E">
        <w:rPr>
          <w:sz w:val="20"/>
          <w:lang w:eastAsia="zh-CN"/>
        </w:rPr>
        <w:t xml:space="preserve">state in DL as example, it can be done by </w:t>
      </w:r>
      <w:r w:rsidR="00312816">
        <w:rPr>
          <w:sz w:val="20"/>
          <w:lang w:eastAsia="zh-CN"/>
        </w:rPr>
        <w:t>optionally</w:t>
      </w:r>
      <w:r w:rsidR="00FD7FF2">
        <w:rPr>
          <w:sz w:val="20"/>
          <w:lang w:eastAsia="zh-CN"/>
        </w:rPr>
        <w:t xml:space="preserve"> </w:t>
      </w:r>
      <w:r w:rsidR="0082316E">
        <w:rPr>
          <w:sz w:val="20"/>
          <w:lang w:eastAsia="zh-CN"/>
        </w:rPr>
        <w:t xml:space="preserve">allowing </w:t>
      </w:r>
      <w:r w:rsidR="00312816">
        <w:rPr>
          <w:sz w:val="20"/>
          <w:lang w:eastAsia="zh-CN"/>
        </w:rPr>
        <w:t>PCI</w:t>
      </w:r>
      <w:r w:rsidR="00FD7FF2">
        <w:rPr>
          <w:sz w:val="20"/>
          <w:lang w:eastAsia="zh-CN"/>
        </w:rPr>
        <w:t xml:space="preserve"> (</w:t>
      </w:r>
      <w:r w:rsidR="007A3919">
        <w:rPr>
          <w:sz w:val="20"/>
          <w:lang w:eastAsia="zh-CN"/>
        </w:rPr>
        <w:t xml:space="preserve">either from serving cell or </w:t>
      </w:r>
      <w:r w:rsidR="00FD7FF2">
        <w:rPr>
          <w:sz w:val="20"/>
          <w:lang w:eastAsia="zh-CN"/>
        </w:rPr>
        <w:t xml:space="preserve">non-serving cell) </w:t>
      </w:r>
      <w:r w:rsidR="007A3919">
        <w:rPr>
          <w:sz w:val="20"/>
          <w:lang w:eastAsia="zh-CN"/>
        </w:rPr>
        <w:t xml:space="preserve">configured </w:t>
      </w:r>
      <w:r w:rsidR="00FD7FF2">
        <w:rPr>
          <w:sz w:val="20"/>
          <w:lang w:eastAsia="zh-CN"/>
        </w:rPr>
        <w:t>into QCL-info</w:t>
      </w:r>
      <w:r w:rsidR="007A3919">
        <w:rPr>
          <w:sz w:val="20"/>
          <w:lang w:eastAsia="zh-CN"/>
        </w:rPr>
        <w:t xml:space="preserve"> during initial RRC configuration</w:t>
      </w:r>
      <w:r w:rsidR="00FD7FF2">
        <w:rPr>
          <w:sz w:val="20"/>
          <w:lang w:eastAsia="zh-CN"/>
        </w:rPr>
        <w:t xml:space="preserve">. </w:t>
      </w:r>
      <w:r w:rsidR="000F147F">
        <w:rPr>
          <w:sz w:val="20"/>
          <w:lang w:eastAsia="zh-CN"/>
        </w:rPr>
        <w:t xml:space="preserve">Afterwards, NW in </w:t>
      </w:r>
      <w:r w:rsidR="00E53A92">
        <w:rPr>
          <w:sz w:val="20"/>
          <w:lang w:eastAsia="zh-CN"/>
        </w:rPr>
        <w:t xml:space="preserve">serving cell </w:t>
      </w:r>
      <w:r w:rsidR="000F147F">
        <w:rPr>
          <w:sz w:val="20"/>
          <w:lang w:eastAsia="zh-CN"/>
        </w:rPr>
        <w:t>is able to apply</w:t>
      </w:r>
      <w:r w:rsidR="00312816">
        <w:rPr>
          <w:sz w:val="20"/>
          <w:lang w:eastAsia="zh-CN"/>
        </w:rPr>
        <w:t xml:space="preserve"> </w:t>
      </w:r>
      <w:r w:rsidR="000F147F">
        <w:rPr>
          <w:sz w:val="20"/>
          <w:lang w:eastAsia="zh-CN"/>
        </w:rPr>
        <w:t xml:space="preserve">the </w:t>
      </w:r>
      <w:r w:rsidR="007A3919">
        <w:rPr>
          <w:sz w:val="20"/>
          <w:lang w:eastAsia="zh-CN"/>
        </w:rPr>
        <w:t>L2 approach</w:t>
      </w:r>
      <w:r w:rsidR="0001481B">
        <w:rPr>
          <w:sz w:val="20"/>
          <w:lang w:eastAsia="zh-CN"/>
        </w:rPr>
        <w:t>,</w:t>
      </w:r>
      <w:r w:rsidR="007A3919">
        <w:rPr>
          <w:sz w:val="20"/>
          <w:lang w:eastAsia="zh-CN"/>
        </w:rPr>
        <w:t xml:space="preserve"> i.e. </w:t>
      </w:r>
      <w:r w:rsidR="00FD7FF2">
        <w:rPr>
          <w:sz w:val="20"/>
          <w:lang w:eastAsia="zh-CN"/>
        </w:rPr>
        <w:t>MAC CE</w:t>
      </w:r>
      <w:r w:rsidR="00C3512F">
        <w:rPr>
          <w:sz w:val="20"/>
          <w:lang w:eastAsia="zh-CN"/>
        </w:rPr>
        <w:t xml:space="preserve"> </w:t>
      </w:r>
      <w:r w:rsidR="00312816">
        <w:rPr>
          <w:sz w:val="20"/>
          <w:lang w:eastAsia="zh-CN"/>
        </w:rPr>
        <w:t>to activate</w:t>
      </w:r>
      <w:r w:rsidR="00FD7FF2">
        <w:rPr>
          <w:sz w:val="20"/>
          <w:lang w:eastAsia="zh-CN"/>
        </w:rPr>
        <w:t xml:space="preserve"> the </w:t>
      </w:r>
      <w:r w:rsidR="0001481B">
        <w:rPr>
          <w:sz w:val="20"/>
          <w:lang w:eastAsia="zh-CN"/>
        </w:rPr>
        <w:t xml:space="preserve">particular </w:t>
      </w:r>
      <w:r w:rsidR="002A14F5">
        <w:rPr>
          <w:sz w:val="20"/>
          <w:lang w:eastAsia="zh-CN"/>
        </w:rPr>
        <w:t xml:space="preserve">TCI </w:t>
      </w:r>
      <w:r w:rsidR="00FD7FF2">
        <w:rPr>
          <w:sz w:val="20"/>
          <w:lang w:eastAsia="zh-CN"/>
        </w:rPr>
        <w:t>state</w:t>
      </w:r>
      <w:r w:rsidR="00312816">
        <w:rPr>
          <w:sz w:val="20"/>
          <w:lang w:eastAsia="zh-CN"/>
        </w:rPr>
        <w:t>(s)</w:t>
      </w:r>
      <w:r w:rsidR="00FD7FF2">
        <w:rPr>
          <w:sz w:val="20"/>
          <w:lang w:eastAsia="zh-CN"/>
        </w:rPr>
        <w:t xml:space="preserve"> which contains </w:t>
      </w:r>
      <w:r w:rsidR="00E53A92">
        <w:rPr>
          <w:sz w:val="20"/>
          <w:lang w:eastAsia="zh-CN"/>
        </w:rPr>
        <w:t xml:space="preserve">the </w:t>
      </w:r>
      <w:r w:rsidR="00FD7FF2">
        <w:rPr>
          <w:sz w:val="20"/>
          <w:lang w:eastAsia="zh-CN"/>
        </w:rPr>
        <w:t>target cell</w:t>
      </w:r>
      <w:r w:rsidR="0001481B">
        <w:rPr>
          <w:sz w:val="20"/>
          <w:lang w:eastAsia="zh-CN"/>
        </w:rPr>
        <w:t>’s</w:t>
      </w:r>
      <w:r w:rsidR="00FD7FF2">
        <w:rPr>
          <w:sz w:val="20"/>
          <w:lang w:eastAsia="zh-CN"/>
        </w:rPr>
        <w:t xml:space="preserve"> </w:t>
      </w:r>
      <w:r w:rsidR="00E53A92">
        <w:rPr>
          <w:sz w:val="20"/>
          <w:lang w:eastAsia="zh-CN"/>
        </w:rPr>
        <w:t xml:space="preserve">PCI </w:t>
      </w:r>
      <w:r w:rsidR="00FD7FF2">
        <w:rPr>
          <w:sz w:val="20"/>
          <w:lang w:eastAsia="zh-CN"/>
        </w:rPr>
        <w:t xml:space="preserve">for </w:t>
      </w:r>
      <w:r w:rsidR="0001481B">
        <w:rPr>
          <w:sz w:val="20"/>
          <w:lang w:eastAsia="zh-CN"/>
        </w:rPr>
        <w:t xml:space="preserve">a UE’s </w:t>
      </w:r>
      <w:r w:rsidR="007A3919">
        <w:rPr>
          <w:sz w:val="20"/>
          <w:lang w:eastAsia="zh-CN"/>
        </w:rPr>
        <w:t xml:space="preserve">reception of </w:t>
      </w:r>
      <w:r w:rsidR="00FD7FF2">
        <w:rPr>
          <w:sz w:val="20"/>
          <w:lang w:eastAsia="zh-CN"/>
        </w:rPr>
        <w:t xml:space="preserve">PDCCH </w:t>
      </w:r>
      <w:r w:rsidR="007A3919">
        <w:rPr>
          <w:sz w:val="20"/>
          <w:lang w:eastAsia="zh-CN"/>
        </w:rPr>
        <w:t>and/</w:t>
      </w:r>
      <w:r w:rsidR="00FD7FF2">
        <w:rPr>
          <w:sz w:val="20"/>
          <w:lang w:eastAsia="zh-CN"/>
        </w:rPr>
        <w:t>or PDSCH</w:t>
      </w:r>
      <w:r w:rsidR="00E53A92">
        <w:rPr>
          <w:sz w:val="20"/>
          <w:lang w:eastAsia="zh-CN"/>
        </w:rPr>
        <w:t xml:space="preserve"> from target cell(s)</w:t>
      </w:r>
      <w:r w:rsidR="00FD7FF2">
        <w:rPr>
          <w:sz w:val="20"/>
          <w:lang w:eastAsia="zh-CN"/>
        </w:rPr>
        <w:t xml:space="preserve">. </w:t>
      </w:r>
      <w:r w:rsidR="00E53A92">
        <w:rPr>
          <w:sz w:val="20"/>
          <w:lang w:eastAsia="zh-CN"/>
        </w:rPr>
        <w:t xml:space="preserve">Moreover, </w:t>
      </w:r>
      <w:r w:rsidR="00D54937">
        <w:rPr>
          <w:sz w:val="20"/>
          <w:lang w:eastAsia="zh-CN"/>
        </w:rPr>
        <w:t xml:space="preserve">one DCI in target cell may indicate the </w:t>
      </w:r>
      <w:r w:rsidR="0001481B">
        <w:rPr>
          <w:sz w:val="20"/>
          <w:lang w:eastAsia="zh-CN"/>
        </w:rPr>
        <w:t xml:space="preserve">Tx </w:t>
      </w:r>
      <w:r w:rsidR="00D54937">
        <w:rPr>
          <w:sz w:val="20"/>
          <w:lang w:eastAsia="zh-CN"/>
        </w:rPr>
        <w:t>beam</w:t>
      </w:r>
      <w:r w:rsidR="000F147F">
        <w:rPr>
          <w:sz w:val="20"/>
          <w:lang w:eastAsia="zh-CN"/>
        </w:rPr>
        <w:t>(s)</w:t>
      </w:r>
      <w:r w:rsidR="00D54937">
        <w:rPr>
          <w:sz w:val="20"/>
          <w:lang w:eastAsia="zh-CN"/>
        </w:rPr>
        <w:t xml:space="preserve"> fo</w:t>
      </w:r>
      <w:r w:rsidR="0001481B">
        <w:rPr>
          <w:sz w:val="20"/>
          <w:lang w:eastAsia="zh-CN"/>
        </w:rPr>
        <w:t>r PDSCH from target cell</w:t>
      </w:r>
      <w:r w:rsidR="00D54937">
        <w:rPr>
          <w:sz w:val="20"/>
          <w:lang w:eastAsia="zh-CN"/>
        </w:rPr>
        <w:t xml:space="preserve">. That’s </w:t>
      </w:r>
      <w:r w:rsidR="0001481B">
        <w:rPr>
          <w:sz w:val="20"/>
          <w:lang w:eastAsia="zh-CN"/>
        </w:rPr>
        <w:t xml:space="preserve">the </w:t>
      </w:r>
      <w:r w:rsidR="00D54937">
        <w:rPr>
          <w:sz w:val="20"/>
          <w:lang w:eastAsia="zh-CN"/>
        </w:rPr>
        <w:t xml:space="preserve">so called L1 approach. </w:t>
      </w:r>
      <w:r w:rsidR="00312816">
        <w:rPr>
          <w:sz w:val="20"/>
          <w:lang w:eastAsia="zh-CN"/>
        </w:rPr>
        <w:t>As a consequence, t</w:t>
      </w:r>
      <w:r w:rsidR="0001481B">
        <w:rPr>
          <w:sz w:val="20"/>
          <w:lang w:eastAsia="zh-CN"/>
        </w:rPr>
        <w:t>he UE then can receive PDCCH/</w:t>
      </w:r>
      <w:r w:rsidR="006320CC">
        <w:rPr>
          <w:sz w:val="20"/>
          <w:lang w:eastAsia="zh-CN"/>
        </w:rPr>
        <w:t xml:space="preserve">PDSCH </w:t>
      </w:r>
      <w:r w:rsidR="00E53A92">
        <w:rPr>
          <w:sz w:val="20"/>
          <w:lang w:eastAsia="zh-CN"/>
        </w:rPr>
        <w:t xml:space="preserve">in advance </w:t>
      </w:r>
      <w:r w:rsidR="006320CC">
        <w:rPr>
          <w:sz w:val="20"/>
          <w:lang w:eastAsia="zh-CN"/>
        </w:rPr>
        <w:t xml:space="preserve">from target cell with aligned </w:t>
      </w:r>
      <w:r w:rsidR="00312816">
        <w:rPr>
          <w:sz w:val="20"/>
          <w:lang w:eastAsia="zh-CN"/>
        </w:rPr>
        <w:t xml:space="preserve">Rx </w:t>
      </w:r>
      <w:r w:rsidR="006320CC">
        <w:rPr>
          <w:sz w:val="20"/>
          <w:lang w:eastAsia="zh-CN"/>
        </w:rPr>
        <w:t>beam</w:t>
      </w:r>
      <w:r w:rsidR="00E53A92">
        <w:rPr>
          <w:sz w:val="20"/>
          <w:lang w:eastAsia="zh-CN"/>
        </w:rPr>
        <w:t>(s)</w:t>
      </w:r>
      <w:r w:rsidR="006320CC">
        <w:rPr>
          <w:sz w:val="20"/>
          <w:lang w:eastAsia="zh-CN"/>
        </w:rPr>
        <w:t>.</w:t>
      </w:r>
      <w:r w:rsidR="00312816">
        <w:rPr>
          <w:sz w:val="20"/>
          <w:lang w:eastAsia="zh-CN"/>
        </w:rPr>
        <w:t xml:space="preserve"> </w:t>
      </w:r>
      <w:r w:rsidR="00556B33">
        <w:rPr>
          <w:sz w:val="20"/>
          <w:lang w:eastAsia="zh-CN"/>
        </w:rPr>
        <w:t xml:space="preserve">Since the UE can be configured with TCI states including any PCI in the network, this kind of TCI state can be given a name, such as “universal” TCI state which is just for discussion purpose, not to be included into Spec. </w:t>
      </w:r>
    </w:p>
    <w:p w14:paraId="3D7450EB" w14:textId="1AFC9DF5" w:rsidR="00031C3B" w:rsidRDefault="00312816" w:rsidP="00600971">
      <w:pPr>
        <w:rPr>
          <w:sz w:val="20"/>
          <w:lang w:eastAsia="zh-CN"/>
        </w:rPr>
      </w:pPr>
      <w:r>
        <w:rPr>
          <w:sz w:val="20"/>
          <w:lang w:eastAsia="zh-CN"/>
        </w:rPr>
        <w:t xml:space="preserve">For UL in non-serving cell, it is also reasonable to add PCI of one target cell into spatial relation, e.g. </w:t>
      </w:r>
      <w:r w:rsidRPr="003D2037">
        <w:rPr>
          <w:i/>
          <w:sz w:val="20"/>
          <w:lang w:eastAsia="zh-CN"/>
        </w:rPr>
        <w:t>PUCCH-SpatialRelationInfo</w:t>
      </w:r>
      <w:r w:rsidR="003D2037">
        <w:rPr>
          <w:sz w:val="20"/>
          <w:lang w:eastAsia="zh-CN"/>
        </w:rPr>
        <w:t xml:space="preserve"> and</w:t>
      </w:r>
      <w:r>
        <w:rPr>
          <w:sz w:val="20"/>
          <w:lang w:eastAsia="zh-CN"/>
        </w:rPr>
        <w:t xml:space="preserve"> </w:t>
      </w:r>
      <w:r w:rsidRPr="003D2037">
        <w:rPr>
          <w:i/>
          <w:sz w:val="20"/>
          <w:lang w:eastAsia="zh-CN"/>
        </w:rPr>
        <w:t>SRS-Spatial</w:t>
      </w:r>
      <w:r w:rsidRPr="003D2037">
        <w:rPr>
          <w:rFonts w:hint="eastAsia"/>
          <w:i/>
          <w:sz w:val="20"/>
          <w:lang w:eastAsia="zh-CN"/>
        </w:rPr>
        <w:t>R</w:t>
      </w:r>
      <w:r w:rsidRPr="003D2037">
        <w:rPr>
          <w:i/>
          <w:sz w:val="20"/>
          <w:lang w:eastAsia="zh-CN"/>
        </w:rPr>
        <w:t>elationInfo</w:t>
      </w:r>
      <w:r w:rsidR="003D2037">
        <w:rPr>
          <w:sz w:val="20"/>
          <w:lang w:eastAsia="zh-CN"/>
        </w:rPr>
        <w:t xml:space="preserve">. With such configuration and activation if needed, the UE can access the target cell in UL </w:t>
      </w:r>
      <w:r w:rsidR="00556B33">
        <w:rPr>
          <w:sz w:val="20"/>
          <w:lang w:eastAsia="zh-CN"/>
        </w:rPr>
        <w:t>too</w:t>
      </w:r>
      <w:r w:rsidR="003D2037">
        <w:rPr>
          <w:sz w:val="20"/>
          <w:lang w:eastAsia="zh-CN"/>
        </w:rPr>
        <w:t xml:space="preserve"> with as less latency as possible. </w:t>
      </w:r>
    </w:p>
    <w:p w14:paraId="68448589" w14:textId="67EA62D7" w:rsidR="00556B33" w:rsidRDefault="00556B33" w:rsidP="00600971">
      <w:pPr>
        <w:rPr>
          <w:sz w:val="20"/>
          <w:lang w:eastAsia="zh-CN"/>
        </w:rPr>
      </w:pPr>
      <w:r>
        <w:rPr>
          <w:sz w:val="20"/>
          <w:lang w:eastAsia="zh-CN"/>
        </w:rPr>
        <w:t xml:space="preserve">Based on our considerations on both DL and UL, we have following </w:t>
      </w:r>
    </w:p>
    <w:p w14:paraId="26DD2FD3" w14:textId="651775B7" w:rsidR="00556B33" w:rsidRPr="00556B33" w:rsidRDefault="00097E22" w:rsidP="00556B33">
      <w:pPr>
        <w:pStyle w:val="ListParagraph"/>
        <w:numPr>
          <w:ilvl w:val="0"/>
          <w:numId w:val="6"/>
        </w:numPr>
        <w:spacing w:after="80"/>
        <w:rPr>
          <w:sz w:val="22"/>
          <w:szCs w:val="24"/>
        </w:rPr>
      </w:pPr>
      <w:r>
        <w:rPr>
          <w:rFonts w:ascii="Times New Roman" w:hAnsi="Times New Roman" w:cs="Times New Roman"/>
          <w:b/>
          <w:sz w:val="22"/>
          <w:szCs w:val="24"/>
        </w:rPr>
        <w:t>:</w:t>
      </w:r>
      <w:r w:rsidR="00C80538">
        <w:rPr>
          <w:rFonts w:ascii="Times New Roman" w:hAnsi="Times New Roman" w:cs="Times New Roman"/>
          <w:b/>
          <w:sz w:val="22"/>
          <w:szCs w:val="24"/>
        </w:rPr>
        <w:t xml:space="preserve"> </w:t>
      </w:r>
      <w:r w:rsidR="00556B33" w:rsidRPr="00556B33">
        <w:rPr>
          <w:rFonts w:ascii="Times New Roman" w:hAnsi="Times New Roman" w:cs="Times New Roman"/>
          <w:b/>
          <w:sz w:val="22"/>
          <w:szCs w:val="24"/>
        </w:rPr>
        <w:t>Study and specify (if necessary) the L1/L2-centric approach of both DL and UL beam management considering the use cases of inter-cell mobility</w:t>
      </w:r>
    </w:p>
    <w:p w14:paraId="0E808367" w14:textId="77777777" w:rsidR="00556B33" w:rsidRPr="00556B33" w:rsidRDefault="00556B33" w:rsidP="00556B33">
      <w:pPr>
        <w:pStyle w:val="ListParagraph"/>
        <w:numPr>
          <w:ilvl w:val="0"/>
          <w:numId w:val="8"/>
        </w:numPr>
        <w:spacing w:after="80"/>
        <w:ind w:left="924" w:hanging="357"/>
        <w:rPr>
          <w:sz w:val="22"/>
          <w:szCs w:val="24"/>
        </w:rPr>
      </w:pPr>
      <w:r w:rsidRPr="00556B33">
        <w:rPr>
          <w:rFonts w:ascii="Times New Roman" w:hAnsi="Times New Roman" w:cs="Times New Roman"/>
          <w:b/>
          <w:sz w:val="22"/>
          <w:szCs w:val="24"/>
        </w:rPr>
        <w:t>Incorporate PCI into TCI state for DL beam management</w:t>
      </w:r>
    </w:p>
    <w:p w14:paraId="6F18D62B" w14:textId="44981F7B" w:rsidR="00556B33" w:rsidRPr="00556B33" w:rsidRDefault="00556B33" w:rsidP="00600971">
      <w:pPr>
        <w:pStyle w:val="ListParagraph"/>
        <w:numPr>
          <w:ilvl w:val="0"/>
          <w:numId w:val="8"/>
        </w:numPr>
        <w:spacing w:after="80"/>
        <w:ind w:left="924" w:hanging="357"/>
        <w:rPr>
          <w:sz w:val="22"/>
          <w:szCs w:val="24"/>
        </w:rPr>
      </w:pPr>
      <w:r w:rsidRPr="00556B33">
        <w:rPr>
          <w:rFonts w:ascii="Times New Roman" w:hAnsi="Times New Roman" w:cs="Times New Roman"/>
          <w:b/>
          <w:sz w:val="22"/>
          <w:szCs w:val="24"/>
        </w:rPr>
        <w:t>Incorporate PCI into Spatial Relation for UL beam management</w:t>
      </w:r>
    </w:p>
    <w:p w14:paraId="665A054E" w14:textId="3EF0876B" w:rsidR="00556B33" w:rsidRDefault="00556B33" w:rsidP="00556B33">
      <w:pPr>
        <w:rPr>
          <w:sz w:val="20"/>
          <w:lang w:eastAsia="ja-JP"/>
        </w:rPr>
      </w:pPr>
      <w:r>
        <w:rPr>
          <w:sz w:val="20"/>
          <w:lang w:eastAsia="ja-JP"/>
        </w:rPr>
        <w:t xml:space="preserve">Even though we state L1/L2 approach should be specified to assist inter-cell mobility, the L3 (RRC) signaling is still necessary in some cases. For instance, the initial RRC configuration which adds DL beams from target cell(s) to TCI states is surely necessary. In addition, we have to keep in mind </w:t>
      </w:r>
      <w:r w:rsidR="008F3E4A">
        <w:rPr>
          <w:sz w:val="20"/>
          <w:lang w:eastAsia="ja-JP"/>
        </w:rPr>
        <w:t xml:space="preserve">the fact </w:t>
      </w:r>
      <w:r>
        <w:rPr>
          <w:sz w:val="20"/>
          <w:lang w:eastAsia="ja-JP"/>
        </w:rPr>
        <w:t xml:space="preserve">that the RRC configuration between serving cell(s) and target cell(s) can be greatly different. It seems too restrictive to have all cells configured in the exactly same format. So after beam-level connection established between UE and target cell, RRC reconfiguration might be needed sooner or later depending on the system aspects other than beam management. </w:t>
      </w:r>
      <w:r>
        <w:rPr>
          <w:rFonts w:hint="eastAsia"/>
          <w:sz w:val="20"/>
          <w:lang w:eastAsia="zh-CN"/>
        </w:rPr>
        <w:t>H</w:t>
      </w:r>
      <w:r>
        <w:rPr>
          <w:sz w:val="20"/>
          <w:lang w:eastAsia="ja-JP"/>
        </w:rPr>
        <w:t xml:space="preserve">ence we would like to share </w:t>
      </w:r>
    </w:p>
    <w:p w14:paraId="202FD70E" w14:textId="50071694" w:rsidR="00556B33" w:rsidRPr="00556B33" w:rsidRDefault="00097E22" w:rsidP="00600971">
      <w:pPr>
        <w:pStyle w:val="ListParagraph"/>
        <w:numPr>
          <w:ilvl w:val="0"/>
          <w:numId w:val="15"/>
        </w:numPr>
        <w:spacing w:after="120"/>
        <w:ind w:left="0" w:firstLine="0"/>
        <w:rPr>
          <w:rFonts w:ascii="Times New Roman" w:hAnsi="Times New Roman" w:cs="Times New Roman"/>
          <w:b/>
          <w:sz w:val="20"/>
        </w:rPr>
      </w:pPr>
      <w:r w:rsidRPr="00A75359">
        <w:rPr>
          <w:rFonts w:ascii="Times New Roman" w:hAnsi="Times New Roman" w:cs="Times New Roman"/>
          <w:b/>
          <w:sz w:val="22"/>
        </w:rPr>
        <w:t xml:space="preserve">: </w:t>
      </w:r>
      <w:r w:rsidR="00556B33" w:rsidRPr="00556B33">
        <w:rPr>
          <w:rFonts w:ascii="Times New Roman" w:hAnsi="Times New Roman" w:cs="Times New Roman"/>
          <w:b/>
          <w:sz w:val="22"/>
        </w:rPr>
        <w:t xml:space="preserve">Beam management from non-serving cell can be carried out before </w:t>
      </w:r>
      <w:r w:rsidR="00556B33" w:rsidRPr="00556B33">
        <w:rPr>
          <w:rFonts w:ascii="Times New Roman" w:hAnsi="Times New Roman" w:cs="Times New Roman"/>
          <w:b/>
          <w:i/>
          <w:sz w:val="22"/>
        </w:rPr>
        <w:t>RRCReconfiguration</w:t>
      </w:r>
      <w:r w:rsidR="00556B33" w:rsidRPr="00556B33">
        <w:rPr>
          <w:rFonts w:ascii="Times New Roman" w:hAnsi="Times New Roman" w:cs="Times New Roman"/>
          <w:b/>
          <w:sz w:val="22"/>
        </w:rPr>
        <w:t xml:space="preserve"> which doesn’t mean </w:t>
      </w:r>
      <w:r w:rsidR="008F3E4A">
        <w:rPr>
          <w:rFonts w:ascii="Times New Roman" w:hAnsi="Times New Roman" w:cs="Times New Roman"/>
          <w:b/>
          <w:sz w:val="22"/>
        </w:rPr>
        <w:t xml:space="preserve">that </w:t>
      </w:r>
      <w:r w:rsidR="00556B33" w:rsidRPr="00556B33">
        <w:rPr>
          <w:rFonts w:ascii="Times New Roman" w:hAnsi="Times New Roman" w:cs="Times New Roman"/>
          <w:b/>
          <w:i/>
          <w:sz w:val="22"/>
        </w:rPr>
        <w:t>RRCReconfiguration</w:t>
      </w:r>
      <w:r w:rsidR="00556B33" w:rsidRPr="00556B33">
        <w:rPr>
          <w:rFonts w:ascii="Times New Roman" w:hAnsi="Times New Roman" w:cs="Times New Roman"/>
          <w:b/>
          <w:sz w:val="22"/>
        </w:rPr>
        <w:t xml:space="preserve"> is completely unnecessary.</w:t>
      </w:r>
    </w:p>
    <w:p w14:paraId="001A78E5" w14:textId="6F383F2E" w:rsidR="003F75CC" w:rsidRDefault="00E802AB" w:rsidP="00C925AA">
      <w:pPr>
        <w:pStyle w:val="Heading1"/>
        <w:rPr>
          <w:sz w:val="24"/>
          <w:lang w:eastAsia="ja-JP"/>
        </w:rPr>
      </w:pPr>
      <w:r w:rsidRPr="00415610">
        <w:rPr>
          <w:sz w:val="24"/>
          <w:lang w:eastAsia="ja-JP"/>
        </w:rPr>
        <w:t>Common beam management</w:t>
      </w:r>
    </w:p>
    <w:p w14:paraId="3008F059" w14:textId="04A2088F" w:rsidR="00415610" w:rsidRPr="00415610" w:rsidRDefault="00415610" w:rsidP="00415610">
      <w:pPr>
        <w:pStyle w:val="Heading2"/>
        <w:rPr>
          <w:sz w:val="22"/>
          <w:lang w:eastAsia="ja-JP"/>
        </w:rPr>
      </w:pPr>
      <w:r w:rsidRPr="00415610">
        <w:rPr>
          <w:sz w:val="22"/>
          <w:lang w:eastAsia="ja-JP"/>
        </w:rPr>
        <w:t xml:space="preserve">Common beam management among </w:t>
      </w:r>
      <w:r w:rsidR="0041278E">
        <w:rPr>
          <w:sz w:val="22"/>
          <w:lang w:eastAsia="ja-JP"/>
        </w:rPr>
        <w:t>BWPs/CCs (intra-</w:t>
      </w:r>
      <w:r w:rsidRPr="00415610">
        <w:rPr>
          <w:sz w:val="22"/>
          <w:lang w:eastAsia="ja-JP"/>
        </w:rPr>
        <w:t>band)</w:t>
      </w:r>
    </w:p>
    <w:p w14:paraId="16BF8965" w14:textId="569BC00E" w:rsidR="00E802AB" w:rsidRDefault="008F3E4A" w:rsidP="007A2E18">
      <w:pPr>
        <w:autoSpaceDE/>
        <w:adjustRightInd/>
        <w:snapToGrid/>
        <w:rPr>
          <w:rFonts w:eastAsia="MS Gothic"/>
          <w:color w:val="000000" w:themeColor="text1"/>
          <w:sz w:val="20"/>
          <w:szCs w:val="20"/>
          <w:lang w:eastAsia="ja-JP"/>
        </w:rPr>
      </w:pPr>
      <w:r>
        <w:rPr>
          <w:rFonts w:eastAsia="MS Gothic"/>
          <w:color w:val="000000" w:themeColor="text1"/>
          <w:sz w:val="20"/>
          <w:szCs w:val="20"/>
          <w:lang w:eastAsia="ja-JP"/>
        </w:rPr>
        <w:t>In the case of multiple BWP/CC for intra-band CA, each BWP/CC may require at least one beam management procedure respectively. The UE needs to</w:t>
      </w:r>
      <w:r w:rsidR="007A2E18">
        <w:rPr>
          <w:rFonts w:eastAsia="MS Gothic"/>
          <w:color w:val="000000" w:themeColor="text1"/>
          <w:sz w:val="20"/>
          <w:szCs w:val="20"/>
          <w:lang w:eastAsia="ja-JP"/>
        </w:rPr>
        <w:t xml:space="preserve"> monitor multiple beam sweeping procedures</w:t>
      </w:r>
      <w:r>
        <w:rPr>
          <w:rFonts w:eastAsia="MS Gothic"/>
          <w:color w:val="000000" w:themeColor="text1"/>
          <w:sz w:val="20"/>
          <w:szCs w:val="20"/>
          <w:lang w:eastAsia="ja-JP"/>
        </w:rPr>
        <w:t>, which cause heavy UE burden. For DL beam management, SSB and/or CSI-RS resource sets can be used. In the current specification a QCL</w:t>
      </w:r>
      <w:r w:rsidR="007A2E18">
        <w:rPr>
          <w:rFonts w:eastAsia="MS Gothic"/>
          <w:color w:val="000000" w:themeColor="text1"/>
          <w:sz w:val="20"/>
          <w:szCs w:val="20"/>
          <w:lang w:eastAsia="ja-JP"/>
        </w:rPr>
        <w:t xml:space="preserve">-TypeD </w:t>
      </w:r>
      <w:r>
        <w:rPr>
          <w:rFonts w:eastAsia="MS Gothic"/>
          <w:color w:val="000000" w:themeColor="text1"/>
          <w:sz w:val="20"/>
          <w:szCs w:val="20"/>
          <w:lang w:eastAsia="ja-JP"/>
        </w:rPr>
        <w:t xml:space="preserve">relation has been defined among RS resources, but not among RS resource sets. In order to reduce the number of beam management procedures, a QCL </w:t>
      </w:r>
      <w:r w:rsidR="007A2E18">
        <w:rPr>
          <w:rFonts w:eastAsia="MS Gothic"/>
          <w:color w:val="000000" w:themeColor="text1"/>
          <w:sz w:val="20"/>
          <w:szCs w:val="20"/>
          <w:lang w:eastAsia="ja-JP"/>
        </w:rPr>
        <w:t>assumption</w:t>
      </w:r>
      <w:r>
        <w:rPr>
          <w:rFonts w:eastAsia="MS Gothic"/>
          <w:color w:val="000000" w:themeColor="text1"/>
          <w:sz w:val="20"/>
          <w:szCs w:val="20"/>
          <w:lang w:eastAsia="ja-JP"/>
        </w:rPr>
        <w:t xml:space="preserve"> among RS resource sets on different BWPs/CCs needs to be</w:t>
      </w:r>
      <w:r w:rsidR="007A2E18">
        <w:rPr>
          <w:rFonts w:eastAsia="MS Gothic"/>
          <w:color w:val="000000" w:themeColor="text1"/>
          <w:sz w:val="20"/>
          <w:szCs w:val="20"/>
          <w:lang w:eastAsia="ja-JP"/>
        </w:rPr>
        <w:t xml:space="preserve"> specified to reduce UE burden.</w:t>
      </w:r>
      <w:r w:rsidR="00E802AB">
        <w:rPr>
          <w:rFonts w:eastAsia="MS Gothic"/>
          <w:color w:val="000000" w:themeColor="text1"/>
          <w:sz w:val="20"/>
          <w:szCs w:val="20"/>
          <w:lang w:eastAsia="ja-JP"/>
        </w:rPr>
        <w:t xml:space="preserve"> </w:t>
      </w:r>
    </w:p>
    <w:p w14:paraId="13391E40" w14:textId="5E52FF0E" w:rsidR="00E802AB" w:rsidRPr="0080763B" w:rsidRDefault="00097E22" w:rsidP="00E802AB">
      <w:pPr>
        <w:pStyle w:val="ListParagraph"/>
        <w:numPr>
          <w:ilvl w:val="0"/>
          <w:numId w:val="6"/>
        </w:numPr>
        <w:spacing w:after="80"/>
        <w:rPr>
          <w:sz w:val="22"/>
          <w:szCs w:val="22"/>
        </w:rPr>
      </w:pPr>
      <w:r>
        <w:rPr>
          <w:rFonts w:ascii="Times New Roman" w:hAnsi="Times New Roman" w:cs="Times New Roman"/>
          <w:b/>
          <w:bCs/>
          <w:sz w:val="22"/>
          <w:szCs w:val="22"/>
        </w:rPr>
        <w:t>:</w:t>
      </w:r>
      <w:r w:rsidR="00C80538">
        <w:rPr>
          <w:rFonts w:ascii="Times New Roman" w:hAnsi="Times New Roman" w:cs="Times New Roman"/>
          <w:b/>
          <w:bCs/>
          <w:sz w:val="22"/>
          <w:szCs w:val="22"/>
        </w:rPr>
        <w:t xml:space="preserve"> </w:t>
      </w:r>
      <w:r w:rsidR="00E802AB">
        <w:rPr>
          <w:rFonts w:ascii="Times New Roman" w:hAnsi="Times New Roman" w:cs="Times New Roman"/>
          <w:b/>
          <w:bCs/>
          <w:sz w:val="22"/>
          <w:szCs w:val="22"/>
        </w:rPr>
        <w:t xml:space="preserve">Specify the QCL </w:t>
      </w:r>
      <w:r w:rsidR="007A2E18">
        <w:rPr>
          <w:rFonts w:ascii="Times New Roman" w:hAnsi="Times New Roman" w:cs="Times New Roman"/>
          <w:b/>
          <w:bCs/>
          <w:sz w:val="22"/>
          <w:szCs w:val="22"/>
        </w:rPr>
        <w:t>assumption</w:t>
      </w:r>
      <w:r w:rsidR="002008DE">
        <w:rPr>
          <w:rFonts w:ascii="Times New Roman" w:hAnsi="Times New Roman" w:cs="Times New Roman"/>
          <w:b/>
          <w:bCs/>
          <w:sz w:val="22"/>
          <w:szCs w:val="22"/>
        </w:rPr>
        <w:t xml:space="preserve"> among SSB</w:t>
      </w:r>
      <w:r w:rsidR="00E802AB">
        <w:rPr>
          <w:rFonts w:ascii="Times New Roman" w:hAnsi="Times New Roman" w:cs="Times New Roman"/>
          <w:b/>
          <w:bCs/>
          <w:sz w:val="22"/>
          <w:szCs w:val="22"/>
        </w:rPr>
        <w:t>/CSI-RS resource sets on different BWPs/CCs (intra band)</w:t>
      </w:r>
      <w:r w:rsidR="00C80538">
        <w:rPr>
          <w:rFonts w:ascii="Times New Roman" w:hAnsi="Times New Roman" w:cs="Times New Roman"/>
          <w:b/>
          <w:bCs/>
          <w:sz w:val="22"/>
          <w:szCs w:val="22"/>
        </w:rPr>
        <w:t>.</w:t>
      </w:r>
      <w:r w:rsidR="00E802AB">
        <w:rPr>
          <w:rFonts w:ascii="Times New Roman" w:hAnsi="Times New Roman" w:cs="Times New Roman"/>
          <w:b/>
          <w:bCs/>
          <w:sz w:val="22"/>
          <w:szCs w:val="22"/>
        </w:rPr>
        <w:t xml:space="preserve"> </w:t>
      </w:r>
    </w:p>
    <w:p w14:paraId="5776ADF6" w14:textId="130B31F5" w:rsidR="002348EF" w:rsidRPr="00415610" w:rsidRDefault="0080763B" w:rsidP="00415610">
      <w:pPr>
        <w:pStyle w:val="Heading2"/>
        <w:rPr>
          <w:sz w:val="22"/>
          <w:lang w:eastAsia="ja-JP"/>
        </w:rPr>
      </w:pPr>
      <w:r w:rsidRPr="00415610">
        <w:rPr>
          <w:sz w:val="22"/>
          <w:lang w:eastAsia="ja-JP"/>
        </w:rPr>
        <w:lastRenderedPageBreak/>
        <w:t>O</w:t>
      </w:r>
      <w:r w:rsidR="00B01F4C" w:rsidRPr="00415610">
        <w:rPr>
          <w:sz w:val="22"/>
          <w:lang w:eastAsia="ja-JP"/>
        </w:rPr>
        <w:t xml:space="preserve">ptimizing TCI states </w:t>
      </w:r>
      <w:r w:rsidR="0041278E">
        <w:rPr>
          <w:sz w:val="22"/>
          <w:lang w:eastAsia="ja-JP"/>
        </w:rPr>
        <w:t>(inter-band)</w:t>
      </w:r>
    </w:p>
    <w:p w14:paraId="6B394158" w14:textId="77777777" w:rsidR="00AC0F43" w:rsidRPr="00C80538" w:rsidRDefault="00AC0F43" w:rsidP="0084059C">
      <w:pPr>
        <w:autoSpaceDE/>
        <w:adjustRightInd/>
        <w:snapToGrid/>
        <w:rPr>
          <w:rFonts w:eastAsia="MS Gothic"/>
          <w:sz w:val="20"/>
          <w:szCs w:val="20"/>
          <w:lang w:eastAsia="ja-JP"/>
        </w:rPr>
      </w:pPr>
      <w:r w:rsidRPr="00C80538">
        <w:rPr>
          <w:rFonts w:eastAsia="MS Gothic"/>
          <w:sz w:val="20"/>
          <w:szCs w:val="20"/>
          <w:lang w:eastAsia="ja-JP"/>
        </w:rPr>
        <w:t>For the case of multiple CCs in different bands, i.e., inter-band CCs, there are, as well, opportunities to reduce the burden of signaling overhead. With no optimizations, multiple beam management procedures may be required in the inter-band case to cater for multiple CCs, BWPs and UE panels, as illustrated for the intra-band case. This has several adverse effects:</w:t>
      </w:r>
    </w:p>
    <w:p w14:paraId="0E8CBEF0" w14:textId="77777777" w:rsidR="00AC0F43" w:rsidRPr="00C80538" w:rsidRDefault="00AC0F43" w:rsidP="00AC0F43">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4885BB4E" w14:textId="77777777" w:rsidR="00AC0F43" w:rsidRPr="00C80538" w:rsidRDefault="00AC0F43" w:rsidP="00AC0F43">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461E80D3" w14:textId="20818DA2" w:rsidR="00AC0F43" w:rsidRPr="00C80538" w:rsidRDefault="00AC0F43" w:rsidP="00C80538">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1B40FBB7" w14:textId="3B6B39E0" w:rsidR="00AC0F43" w:rsidRDefault="00AC0F43" w:rsidP="0084059C">
      <w:pPr>
        <w:autoSpaceDE/>
        <w:adjustRightInd/>
        <w:snapToGrid/>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sidR="0084059C">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 we make the following proposal:</w:t>
      </w:r>
      <w:r>
        <w:rPr>
          <w:rFonts w:eastAsia="MS Gothic"/>
          <w:sz w:val="20"/>
          <w:szCs w:val="20"/>
          <w:lang w:eastAsia="ja-JP"/>
        </w:rPr>
        <w:t xml:space="preserve"> </w:t>
      </w:r>
    </w:p>
    <w:p w14:paraId="1522771B" w14:textId="2822958A" w:rsidR="00AC0F43" w:rsidRPr="00C80538" w:rsidRDefault="00097E22" w:rsidP="00C80538">
      <w:pPr>
        <w:pStyle w:val="ListParagraph"/>
        <w:numPr>
          <w:ilvl w:val="0"/>
          <w:numId w:val="6"/>
        </w:numPr>
        <w:spacing w:after="80"/>
        <w:rPr>
          <w:sz w:val="22"/>
          <w:szCs w:val="22"/>
        </w:rPr>
      </w:pPr>
      <w:bookmarkStart w:id="2" w:name="_Ref47597982"/>
      <w:r>
        <w:rPr>
          <w:rFonts w:ascii="Times New Roman" w:hAnsi="Times New Roman" w:cs="Times New Roman"/>
          <w:b/>
          <w:sz w:val="22"/>
          <w:szCs w:val="22"/>
        </w:rPr>
        <w:t>:</w:t>
      </w:r>
      <w:r w:rsidR="00C80538">
        <w:rPr>
          <w:rFonts w:ascii="Times New Roman" w:hAnsi="Times New Roman" w:cs="Times New Roman"/>
          <w:b/>
          <w:sz w:val="22"/>
          <w:szCs w:val="22"/>
        </w:rPr>
        <w:t xml:space="preserve"> </w:t>
      </w:r>
      <w:r w:rsidR="00C80538" w:rsidRPr="00C80538">
        <w:rPr>
          <w:rFonts w:ascii="Times New Roman" w:hAnsi="Times New Roman" w:cs="Times New Roman"/>
          <w:b/>
          <w:sz w:val="22"/>
          <w:szCs w:val="22"/>
        </w:rPr>
        <w:t>For inter-band CCs, a common beam management procedure, including TCI states across bands, should be considered for data/control, DL/UL, multiple BWPs, multiple TRPs and multiple UE panels</w:t>
      </w:r>
      <w:r w:rsidR="00C80538" w:rsidRPr="00C80538">
        <w:rPr>
          <w:rFonts w:ascii="Times New Roman" w:hAnsi="Times New Roman" w:cs="Times New Roman"/>
          <w:b/>
          <w:bCs/>
          <w:sz w:val="22"/>
          <w:szCs w:val="22"/>
        </w:rPr>
        <w:t>.</w:t>
      </w:r>
      <w:bookmarkEnd w:id="2"/>
      <w:r w:rsidR="00C80538" w:rsidRPr="00C80538">
        <w:rPr>
          <w:rFonts w:ascii="Times New Roman" w:hAnsi="Times New Roman" w:cs="Times New Roman"/>
          <w:b/>
          <w:bCs/>
          <w:sz w:val="22"/>
          <w:szCs w:val="22"/>
        </w:rPr>
        <w:t xml:space="preserve"> </w:t>
      </w:r>
    </w:p>
    <w:p w14:paraId="401E0C6F" w14:textId="21377258" w:rsidR="00AC0F43" w:rsidRPr="00C80538" w:rsidRDefault="00E85217" w:rsidP="00E85217">
      <w:pPr>
        <w:autoSpaceDE/>
        <w:adjustRightInd/>
        <w:snapToGrid/>
        <w:rPr>
          <w:rFonts w:eastAsia="MS Gothic"/>
          <w:sz w:val="20"/>
          <w:szCs w:val="20"/>
          <w:lang w:eastAsia="ja-JP"/>
        </w:rPr>
      </w:pPr>
      <w:bookmarkStart w:id="3" w:name="_Hlk31791006"/>
      <w:r>
        <w:rPr>
          <w:rFonts w:eastAsia="MS Gothic"/>
          <w:sz w:val="20"/>
          <w:szCs w:val="20"/>
          <w:lang w:eastAsia="ja-JP"/>
        </w:rPr>
        <w:t xml:space="preserve">The feasibility of the above proposal depends, of course, on the UE ability to simultaneously produce beams in different bands </w:t>
      </w:r>
      <w:bookmarkEnd w:id="3"/>
      <w:r>
        <w:rPr>
          <w:rFonts w:eastAsia="MS Gothic"/>
          <w:sz w:val="20"/>
          <w:szCs w:val="20"/>
          <w:lang w:eastAsia="ja-JP"/>
        </w:rPr>
        <w:t xml:space="preserve">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sidR="00097E22">
        <w:rPr>
          <w:rFonts w:eastAsia="MS Gothic"/>
          <w:sz w:val="20"/>
          <w:szCs w:val="20"/>
          <w:lang w:eastAsia="ja-JP"/>
        </w:rPr>
        <w:fldChar w:fldCharType="begin"/>
      </w:r>
      <w:r w:rsidR="00097E22">
        <w:rPr>
          <w:rFonts w:eastAsia="MS Gothic"/>
          <w:sz w:val="20"/>
          <w:szCs w:val="20"/>
          <w:lang w:eastAsia="ja-JP"/>
        </w:rPr>
        <w:instrText xml:space="preserve"> REF _Ref47597982 \r \h </w:instrText>
      </w:r>
      <w:r w:rsidR="00097E22">
        <w:rPr>
          <w:rFonts w:eastAsia="MS Gothic"/>
          <w:sz w:val="20"/>
          <w:szCs w:val="20"/>
          <w:lang w:eastAsia="ja-JP"/>
        </w:rPr>
      </w:r>
      <w:r w:rsidR="00097E22">
        <w:rPr>
          <w:rFonts w:eastAsia="MS Gothic"/>
          <w:sz w:val="20"/>
          <w:szCs w:val="20"/>
          <w:lang w:eastAsia="ja-JP"/>
        </w:rPr>
        <w:fldChar w:fldCharType="separate"/>
      </w:r>
      <w:r w:rsidR="00097E22">
        <w:rPr>
          <w:rFonts w:eastAsia="MS Gothic"/>
          <w:sz w:val="20"/>
          <w:szCs w:val="20"/>
          <w:lang w:eastAsia="ja-JP"/>
        </w:rPr>
        <w:t>Proposal 3</w:t>
      </w:r>
      <w:r w:rsidR="00097E22">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4D03F331" w14:textId="51CF8B39" w:rsidR="00AC0F43" w:rsidRPr="00C80538" w:rsidRDefault="00097E22" w:rsidP="009A1C12">
      <w:pPr>
        <w:pStyle w:val="ListParagraph"/>
        <w:numPr>
          <w:ilvl w:val="0"/>
          <w:numId w:val="18"/>
        </w:numPr>
        <w:spacing w:after="120"/>
        <w:rPr>
          <w:sz w:val="22"/>
          <w:szCs w:val="20"/>
        </w:rPr>
      </w:pPr>
      <w:r>
        <w:rPr>
          <w:rFonts w:ascii="Times New Roman" w:hAnsi="Times New Roman" w:cs="Times New Roman"/>
          <w:b/>
          <w:sz w:val="22"/>
          <w:szCs w:val="20"/>
        </w:rPr>
        <w:t>:</w:t>
      </w:r>
      <w:r w:rsidR="00C80538">
        <w:rPr>
          <w:rFonts w:ascii="Times New Roman" w:hAnsi="Times New Roman" w:cs="Times New Roman"/>
          <w:b/>
          <w:sz w:val="22"/>
          <w:szCs w:val="20"/>
        </w:rPr>
        <w:t xml:space="preserve"> </w:t>
      </w:r>
      <w:r w:rsidR="00AC0F43" w:rsidRPr="00C80538">
        <w:rPr>
          <w:rFonts w:ascii="Times New Roman" w:hAnsi="Times New Roman" w:cs="Times New Roman"/>
          <w:b/>
          <w:sz w:val="22"/>
          <w:szCs w:val="20"/>
        </w:rPr>
        <w:t>The reporting of UE capabilities related to the ability of the UE to simultaneously steer in the same direction beams belonging to CCs in different bands should be considered.</w:t>
      </w:r>
    </w:p>
    <w:p w14:paraId="20F9F4FA" w14:textId="2385DBDF" w:rsidR="00AC0F43" w:rsidRPr="00C80538" w:rsidRDefault="00E85217" w:rsidP="00C80538">
      <w:pPr>
        <w:pStyle w:val="ListParagraph"/>
        <w:spacing w:after="120"/>
        <w:ind w:left="0"/>
        <w:rPr>
          <w:rFonts w:ascii="Times New Roman" w:hAnsi="Times New Roman" w:cs="Times New Roman"/>
          <w:sz w:val="22"/>
          <w:szCs w:val="22"/>
        </w:rPr>
      </w:pPr>
      <w:r>
        <w:rPr>
          <w:rFonts w:ascii="Times New Roman" w:eastAsia="MS Gothic" w:hAnsi="Times New Roman" w:cs="Times New Roman"/>
          <w:sz w:val="20"/>
          <w:szCs w:val="20"/>
          <w:lang w:eastAsia="ja-JP"/>
        </w:rPr>
        <w:t>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TCI states across bands, polarization needs to be taken into account. In particular, the polarization property of beams shall not impair optimizations of the TCI states while, at the same time, it should be possible to select orthogonal polarizations for beams in different bands pointing in the same/different directions.</w:t>
      </w:r>
    </w:p>
    <w:p w14:paraId="6898C3C7" w14:textId="672A4FB1" w:rsidR="00AC0F43" w:rsidRPr="00C80538" w:rsidRDefault="00097E22" w:rsidP="00AC0F43">
      <w:pPr>
        <w:pStyle w:val="ListParagraph"/>
        <w:numPr>
          <w:ilvl w:val="0"/>
          <w:numId w:val="18"/>
        </w:numPr>
        <w:spacing w:after="40"/>
        <w:rPr>
          <w:sz w:val="22"/>
          <w:szCs w:val="20"/>
        </w:rPr>
      </w:pPr>
      <w:r>
        <w:rPr>
          <w:rFonts w:ascii="Times New Roman" w:hAnsi="Times New Roman" w:cs="Times New Roman"/>
          <w:b/>
          <w:sz w:val="22"/>
          <w:szCs w:val="20"/>
        </w:rPr>
        <w:t>:</w:t>
      </w:r>
      <w:r w:rsidR="00C80538" w:rsidRPr="00C80538">
        <w:rPr>
          <w:rFonts w:ascii="Times New Roman" w:hAnsi="Times New Roman" w:cs="Times New Roman"/>
          <w:b/>
          <w:sz w:val="22"/>
          <w:szCs w:val="20"/>
        </w:rPr>
        <w:t xml:space="preserve"> </w:t>
      </w:r>
      <w:r w:rsidR="00AC0F43" w:rsidRPr="00C80538">
        <w:rPr>
          <w:rFonts w:ascii="Times New Roman" w:hAnsi="Times New Roman" w:cs="Times New Roman"/>
          <w:b/>
          <w:sz w:val="22"/>
          <w:szCs w:val="20"/>
        </w:rPr>
        <w:t>For the optimization of TCI states across bands, the polarization property of beams should be considered.</w:t>
      </w:r>
    </w:p>
    <w:p w14:paraId="2EDA1B13" w14:textId="5057934A" w:rsidR="003F75CC" w:rsidRPr="00C925AA" w:rsidRDefault="002A14F5" w:rsidP="00C925AA">
      <w:pPr>
        <w:pStyle w:val="Heading1"/>
        <w:rPr>
          <w:sz w:val="24"/>
          <w:lang w:eastAsia="ja-JP"/>
        </w:rPr>
      </w:pPr>
      <w:bookmarkStart w:id="4" w:name="_Ref46237644"/>
      <w:r w:rsidRPr="00C925AA">
        <w:rPr>
          <w:sz w:val="24"/>
          <w:lang w:eastAsia="ja-JP"/>
        </w:rPr>
        <w:t xml:space="preserve">Unified TCI </w:t>
      </w:r>
      <w:r w:rsidR="00556B33">
        <w:rPr>
          <w:sz w:val="24"/>
          <w:lang w:eastAsia="ja-JP"/>
        </w:rPr>
        <w:t>states</w:t>
      </w:r>
      <w:bookmarkEnd w:id="4"/>
    </w:p>
    <w:p w14:paraId="769A19AD" w14:textId="7F8B6790" w:rsidR="00A519D8" w:rsidRPr="00556B33" w:rsidRDefault="00902D87" w:rsidP="004C7A78">
      <w:pPr>
        <w:rPr>
          <w:sz w:val="20"/>
          <w:lang w:eastAsia="ja-JP"/>
        </w:rPr>
      </w:pPr>
      <w:r w:rsidRPr="00556B33">
        <w:rPr>
          <w:sz w:val="20"/>
          <w:lang w:eastAsia="ja-JP"/>
        </w:rPr>
        <w:t xml:space="preserve">In Rel.15/16, </w:t>
      </w:r>
      <w:r w:rsidR="00A519D8" w:rsidRPr="00556B33">
        <w:rPr>
          <w:sz w:val="20"/>
          <w:lang w:eastAsia="ja-JP"/>
        </w:rPr>
        <w:t xml:space="preserve">the DL beam management depends on </w:t>
      </w:r>
      <w:r w:rsidR="002A14F5" w:rsidRPr="00556B33">
        <w:rPr>
          <w:sz w:val="20"/>
          <w:lang w:eastAsia="ja-JP"/>
        </w:rPr>
        <w:t>TCI s</w:t>
      </w:r>
      <w:r w:rsidRPr="00556B33">
        <w:rPr>
          <w:sz w:val="20"/>
          <w:lang w:eastAsia="ja-JP"/>
        </w:rPr>
        <w:t>tate</w:t>
      </w:r>
      <w:r w:rsidR="00A519D8" w:rsidRPr="00556B33">
        <w:rPr>
          <w:sz w:val="20"/>
          <w:lang w:eastAsia="ja-JP"/>
        </w:rPr>
        <w:t>s</w:t>
      </w:r>
      <w:r w:rsidRPr="00556B33">
        <w:rPr>
          <w:sz w:val="20"/>
          <w:lang w:eastAsia="ja-JP"/>
        </w:rPr>
        <w:t xml:space="preserve"> </w:t>
      </w:r>
      <w:r w:rsidR="00A519D8" w:rsidRPr="00556B33">
        <w:rPr>
          <w:sz w:val="20"/>
          <w:lang w:eastAsia="ja-JP"/>
        </w:rPr>
        <w:t xml:space="preserve">which can be </w:t>
      </w:r>
      <w:r w:rsidRPr="00556B33">
        <w:rPr>
          <w:sz w:val="20"/>
          <w:lang w:eastAsia="ja-JP"/>
        </w:rPr>
        <w:t xml:space="preserve">configured in </w:t>
      </w:r>
      <w:r w:rsidRPr="00556B33">
        <w:rPr>
          <w:i/>
          <w:sz w:val="20"/>
          <w:lang w:eastAsia="ja-JP"/>
        </w:rPr>
        <w:t>PDSCH-Config</w:t>
      </w:r>
      <w:r w:rsidRPr="00556B33">
        <w:rPr>
          <w:sz w:val="20"/>
          <w:lang w:eastAsia="ja-JP"/>
        </w:rPr>
        <w:t xml:space="preserve"> per BWP </w:t>
      </w:r>
      <w:r w:rsidR="00A519D8" w:rsidRPr="00556B33">
        <w:rPr>
          <w:sz w:val="20"/>
          <w:lang w:eastAsia="ja-JP"/>
        </w:rPr>
        <w:t xml:space="preserve">and </w:t>
      </w:r>
      <w:r w:rsidRPr="00556B33">
        <w:rPr>
          <w:sz w:val="20"/>
          <w:lang w:eastAsia="ja-JP"/>
        </w:rPr>
        <w:t xml:space="preserve">viewed as </w:t>
      </w:r>
      <w:r w:rsidR="00556B33">
        <w:rPr>
          <w:sz w:val="20"/>
          <w:lang w:eastAsia="ja-JP"/>
        </w:rPr>
        <w:t xml:space="preserve">a </w:t>
      </w:r>
      <w:r w:rsidR="00A519D8" w:rsidRPr="00556B33">
        <w:rPr>
          <w:sz w:val="20"/>
          <w:lang w:eastAsia="ja-JP"/>
        </w:rPr>
        <w:t xml:space="preserve">resource </w:t>
      </w:r>
      <w:r w:rsidRPr="00556B33">
        <w:rPr>
          <w:sz w:val="20"/>
          <w:lang w:eastAsia="ja-JP"/>
        </w:rPr>
        <w:t xml:space="preserve">pool for </w:t>
      </w:r>
      <w:r w:rsidR="007917B9">
        <w:rPr>
          <w:sz w:val="20"/>
          <w:lang w:eastAsia="ja-JP"/>
        </w:rPr>
        <w:t xml:space="preserve">DL </w:t>
      </w:r>
      <w:r w:rsidR="00556B33">
        <w:rPr>
          <w:sz w:val="20"/>
          <w:lang w:eastAsia="ja-JP"/>
        </w:rPr>
        <w:t xml:space="preserve">Tx </w:t>
      </w:r>
      <w:r w:rsidR="00A519D8" w:rsidRPr="00556B33">
        <w:rPr>
          <w:sz w:val="20"/>
          <w:lang w:eastAsia="ja-JP"/>
        </w:rPr>
        <w:t xml:space="preserve">beams. </w:t>
      </w:r>
      <w:r w:rsidR="00556B33">
        <w:rPr>
          <w:sz w:val="20"/>
          <w:lang w:eastAsia="ja-JP"/>
        </w:rPr>
        <w:t xml:space="preserve">The essential function of </w:t>
      </w:r>
      <w:r w:rsidR="002A14F5" w:rsidRPr="00556B33">
        <w:rPr>
          <w:sz w:val="20"/>
          <w:lang w:eastAsia="ja-JP"/>
        </w:rPr>
        <w:t xml:space="preserve">TCI </w:t>
      </w:r>
      <w:r w:rsidR="00A519D8" w:rsidRPr="00556B33">
        <w:rPr>
          <w:sz w:val="20"/>
          <w:lang w:eastAsia="ja-JP"/>
        </w:rPr>
        <w:t xml:space="preserve">state </w:t>
      </w:r>
      <w:r w:rsidR="00556B33">
        <w:rPr>
          <w:sz w:val="20"/>
          <w:lang w:eastAsia="ja-JP"/>
        </w:rPr>
        <w:t>is to conduct QCL relation between two DL RSs, e.g. between CSI-RS and</w:t>
      </w:r>
      <w:r w:rsidR="00A519D8" w:rsidRPr="00556B33">
        <w:rPr>
          <w:sz w:val="20"/>
          <w:lang w:eastAsia="ja-JP"/>
        </w:rPr>
        <w:t xml:space="preserve"> PDSCH</w:t>
      </w:r>
      <w:r w:rsidR="00556B33">
        <w:rPr>
          <w:sz w:val="20"/>
          <w:lang w:eastAsia="ja-JP"/>
        </w:rPr>
        <w:t xml:space="preserve"> DMRS</w:t>
      </w:r>
      <w:r w:rsidR="00D974EF" w:rsidRPr="00556B33">
        <w:rPr>
          <w:sz w:val="20"/>
          <w:lang w:eastAsia="ja-JP"/>
        </w:rPr>
        <w:t>.</w:t>
      </w:r>
      <w:r w:rsidR="00556B33">
        <w:rPr>
          <w:sz w:val="20"/>
          <w:lang w:eastAsia="ja-JP"/>
        </w:rPr>
        <w:t xml:space="preserve"> </w:t>
      </w:r>
      <w:r w:rsidR="00D974EF" w:rsidRPr="00556B33">
        <w:rPr>
          <w:sz w:val="20"/>
          <w:lang w:eastAsia="ja-JP"/>
        </w:rPr>
        <w:t xml:space="preserve"> </w:t>
      </w:r>
    </w:p>
    <w:p w14:paraId="046D45E2" w14:textId="09B2339C" w:rsidR="00515020" w:rsidRPr="00556B33" w:rsidRDefault="00D814B5" w:rsidP="004C7A78">
      <w:pPr>
        <w:rPr>
          <w:sz w:val="20"/>
          <w:lang w:eastAsia="ja-JP"/>
        </w:rPr>
      </w:pPr>
      <w:r w:rsidRPr="00556B33">
        <w:rPr>
          <w:sz w:val="20"/>
          <w:lang w:eastAsia="ja-JP"/>
        </w:rPr>
        <w:t>Apart</w:t>
      </w:r>
      <w:r w:rsidR="00515020" w:rsidRPr="00556B33">
        <w:rPr>
          <w:sz w:val="20"/>
          <w:lang w:eastAsia="ja-JP"/>
        </w:rPr>
        <w:t xml:space="preserve"> from that of DL, the</w:t>
      </w:r>
      <w:r w:rsidR="00A519D8" w:rsidRPr="00556B33">
        <w:rPr>
          <w:sz w:val="20"/>
          <w:lang w:eastAsia="ja-JP"/>
        </w:rPr>
        <w:t xml:space="preserve"> </w:t>
      </w:r>
      <w:r w:rsidRPr="00556B33">
        <w:rPr>
          <w:sz w:val="20"/>
          <w:lang w:eastAsia="ja-JP"/>
        </w:rPr>
        <w:t xml:space="preserve">beam management </w:t>
      </w:r>
      <w:r w:rsidR="00515020" w:rsidRPr="00556B33">
        <w:rPr>
          <w:sz w:val="20"/>
          <w:lang w:eastAsia="ja-JP"/>
        </w:rPr>
        <w:t xml:space="preserve">of UL </w:t>
      </w:r>
      <w:r w:rsidRPr="00556B33">
        <w:rPr>
          <w:sz w:val="20"/>
          <w:lang w:eastAsia="ja-JP"/>
        </w:rPr>
        <w:t xml:space="preserve">is built on </w:t>
      </w:r>
      <w:r w:rsidR="00902D87" w:rsidRPr="00556B33">
        <w:rPr>
          <w:sz w:val="20"/>
          <w:lang w:eastAsia="ja-JP"/>
        </w:rPr>
        <w:t xml:space="preserve">spatial relations </w:t>
      </w:r>
      <w:r w:rsidRPr="00556B33">
        <w:rPr>
          <w:sz w:val="20"/>
          <w:lang w:eastAsia="ja-JP"/>
        </w:rPr>
        <w:t xml:space="preserve">which are separately configured and/or </w:t>
      </w:r>
      <w:r w:rsidR="00902D87" w:rsidRPr="00556B33">
        <w:rPr>
          <w:sz w:val="20"/>
          <w:lang w:eastAsia="ja-JP"/>
        </w:rPr>
        <w:t xml:space="preserve">activated for </w:t>
      </w:r>
      <w:r w:rsidR="00556B33">
        <w:rPr>
          <w:sz w:val="20"/>
          <w:lang w:eastAsia="ja-JP"/>
        </w:rPr>
        <w:t>UL channels and signals</w:t>
      </w:r>
      <w:r w:rsidR="00515020" w:rsidRPr="00556B33">
        <w:rPr>
          <w:sz w:val="20"/>
          <w:lang w:eastAsia="ja-JP"/>
        </w:rPr>
        <w:t xml:space="preserve"> in </w:t>
      </w:r>
      <w:r w:rsidR="00556B33">
        <w:rPr>
          <w:sz w:val="20"/>
          <w:lang w:eastAsia="ja-JP"/>
        </w:rPr>
        <w:t xml:space="preserve">a per </w:t>
      </w:r>
      <w:r w:rsidR="00515020" w:rsidRPr="00556B33">
        <w:rPr>
          <w:sz w:val="20"/>
          <w:lang w:eastAsia="ja-JP"/>
        </w:rPr>
        <w:t>resource level</w:t>
      </w:r>
      <w:r w:rsidR="00902D87" w:rsidRPr="00556B33">
        <w:rPr>
          <w:sz w:val="20"/>
          <w:lang w:eastAsia="ja-JP"/>
        </w:rPr>
        <w:t xml:space="preserve">. </w:t>
      </w:r>
      <w:r w:rsidR="00556B33">
        <w:rPr>
          <w:sz w:val="20"/>
          <w:lang w:eastAsia="ja-JP"/>
        </w:rPr>
        <w:t>Moreover,</w:t>
      </w:r>
      <w:r w:rsidR="00515020" w:rsidRPr="00556B33">
        <w:rPr>
          <w:sz w:val="20"/>
          <w:lang w:eastAsia="ja-JP"/>
        </w:rPr>
        <w:t xml:space="preserve"> </w:t>
      </w:r>
      <w:r w:rsidR="00237039" w:rsidRPr="00556B33">
        <w:rPr>
          <w:sz w:val="20"/>
          <w:lang w:eastAsia="ja-JP"/>
        </w:rPr>
        <w:t xml:space="preserve">the </w:t>
      </w:r>
      <w:r w:rsidR="00515020" w:rsidRPr="00556B33">
        <w:rPr>
          <w:sz w:val="20"/>
          <w:lang w:eastAsia="ja-JP"/>
        </w:rPr>
        <w:t xml:space="preserve">spatial relation may contain an SRS resource </w:t>
      </w:r>
      <w:r w:rsidR="00237039" w:rsidRPr="00556B33">
        <w:rPr>
          <w:sz w:val="20"/>
          <w:lang w:eastAsia="ja-JP"/>
        </w:rPr>
        <w:t xml:space="preserve">besides DL RS </w:t>
      </w:r>
      <w:r w:rsidR="00515020" w:rsidRPr="00556B33">
        <w:rPr>
          <w:sz w:val="20"/>
          <w:lang w:eastAsia="ja-JP"/>
        </w:rPr>
        <w:t xml:space="preserve">as a QCL source, whereas a </w:t>
      </w:r>
      <w:r w:rsidR="002A14F5" w:rsidRPr="00556B33">
        <w:rPr>
          <w:sz w:val="20"/>
          <w:lang w:eastAsia="ja-JP"/>
        </w:rPr>
        <w:t xml:space="preserve">TCI </w:t>
      </w:r>
      <w:r w:rsidR="00515020" w:rsidRPr="00556B33">
        <w:rPr>
          <w:sz w:val="20"/>
          <w:lang w:eastAsia="ja-JP"/>
        </w:rPr>
        <w:t xml:space="preserve">state could </w:t>
      </w:r>
      <w:r w:rsidR="00556B33">
        <w:rPr>
          <w:sz w:val="20"/>
          <w:lang w:eastAsia="ja-JP"/>
        </w:rPr>
        <w:t xml:space="preserve">only </w:t>
      </w:r>
      <w:r w:rsidR="00515020" w:rsidRPr="00556B33">
        <w:rPr>
          <w:sz w:val="20"/>
          <w:lang w:eastAsia="ja-JP"/>
        </w:rPr>
        <w:t>contain a DL RS (either SSB or CSI-RS)</w:t>
      </w:r>
      <w:r w:rsidR="00556B33">
        <w:rPr>
          <w:sz w:val="20"/>
          <w:lang w:eastAsia="ja-JP"/>
        </w:rPr>
        <w:t xml:space="preserve"> as a QCL source</w:t>
      </w:r>
      <w:r w:rsidR="00515020" w:rsidRPr="00556B33">
        <w:rPr>
          <w:sz w:val="20"/>
          <w:lang w:eastAsia="ja-JP"/>
        </w:rPr>
        <w:t xml:space="preserve">. </w:t>
      </w:r>
    </w:p>
    <w:p w14:paraId="5089C3D9" w14:textId="0DAB21A3" w:rsidR="00672681" w:rsidRPr="00556B33" w:rsidRDefault="00902D87" w:rsidP="004C7A78">
      <w:pPr>
        <w:rPr>
          <w:sz w:val="20"/>
          <w:lang w:eastAsia="ja-JP"/>
        </w:rPr>
      </w:pPr>
      <w:r w:rsidRPr="00556B33">
        <w:rPr>
          <w:sz w:val="20"/>
          <w:lang w:eastAsia="ja-JP"/>
        </w:rPr>
        <w:t xml:space="preserve">Due to the </w:t>
      </w:r>
      <w:r w:rsidR="00237039" w:rsidRPr="00556B33">
        <w:rPr>
          <w:sz w:val="20"/>
          <w:lang w:eastAsia="ja-JP"/>
        </w:rPr>
        <w:t>fundamental</w:t>
      </w:r>
      <w:r w:rsidRPr="00556B33">
        <w:rPr>
          <w:sz w:val="20"/>
          <w:lang w:eastAsia="ja-JP"/>
        </w:rPr>
        <w:t xml:space="preserve"> </w:t>
      </w:r>
      <w:r w:rsidR="00237039" w:rsidRPr="00556B33">
        <w:rPr>
          <w:sz w:val="20"/>
          <w:lang w:eastAsia="ja-JP"/>
        </w:rPr>
        <w:t xml:space="preserve">difference between UL and DL </w:t>
      </w:r>
      <w:r w:rsidRPr="00556B33">
        <w:rPr>
          <w:sz w:val="20"/>
          <w:lang w:eastAsia="ja-JP"/>
        </w:rPr>
        <w:t xml:space="preserve">beam management </w:t>
      </w:r>
      <w:r w:rsidR="00237039" w:rsidRPr="00556B33">
        <w:rPr>
          <w:sz w:val="20"/>
          <w:lang w:eastAsia="ja-JP"/>
        </w:rPr>
        <w:t xml:space="preserve">mechanisms </w:t>
      </w:r>
      <w:r w:rsidRPr="00556B33">
        <w:rPr>
          <w:sz w:val="20"/>
          <w:lang w:eastAsia="ja-JP"/>
        </w:rPr>
        <w:t xml:space="preserve">in the NR system, </w:t>
      </w:r>
      <w:r w:rsidR="00036AAB" w:rsidRPr="00556B33">
        <w:rPr>
          <w:sz w:val="20"/>
          <w:lang w:eastAsia="ja-JP"/>
        </w:rPr>
        <w:t>at least two sets of</w:t>
      </w:r>
      <w:r w:rsidR="00DF37E1" w:rsidRPr="00556B33">
        <w:rPr>
          <w:sz w:val="20"/>
          <w:lang w:eastAsia="ja-JP"/>
        </w:rPr>
        <w:t xml:space="preserve"> beam management</w:t>
      </w:r>
      <w:r w:rsidR="00036AAB" w:rsidRPr="00556B33">
        <w:rPr>
          <w:sz w:val="20"/>
          <w:lang w:eastAsia="ja-JP"/>
        </w:rPr>
        <w:t xml:space="preserve"> parameters</w:t>
      </w:r>
      <w:r w:rsidR="002A14F5" w:rsidRPr="00556B33">
        <w:rPr>
          <w:sz w:val="20"/>
          <w:lang w:eastAsia="zh-CN"/>
        </w:rPr>
        <w:t xml:space="preserve">, i.e. TCI </w:t>
      </w:r>
      <w:r w:rsidR="00036AAB" w:rsidRPr="00556B33">
        <w:rPr>
          <w:sz w:val="20"/>
          <w:lang w:eastAsia="zh-CN"/>
        </w:rPr>
        <w:t>states for DL and spatial relations for UL</w:t>
      </w:r>
      <w:r w:rsidR="00036AAB" w:rsidRPr="00556B33">
        <w:rPr>
          <w:sz w:val="20"/>
          <w:lang w:eastAsia="ja-JP"/>
        </w:rPr>
        <w:t xml:space="preserve">, </w:t>
      </w:r>
      <w:r w:rsidR="00CE1D82">
        <w:rPr>
          <w:sz w:val="20"/>
          <w:lang w:eastAsia="ja-JP"/>
        </w:rPr>
        <w:t>should</w:t>
      </w:r>
      <w:r w:rsidR="00036AAB" w:rsidRPr="00556B33">
        <w:rPr>
          <w:sz w:val="20"/>
          <w:lang w:eastAsia="ja-JP"/>
        </w:rPr>
        <w:t xml:space="preserve"> be configured, </w:t>
      </w:r>
      <w:r w:rsidR="00CE1D82">
        <w:rPr>
          <w:sz w:val="20"/>
          <w:lang w:eastAsia="ja-JP"/>
        </w:rPr>
        <w:t>(de)</w:t>
      </w:r>
      <w:r w:rsidR="00036AAB" w:rsidRPr="00556B33">
        <w:rPr>
          <w:sz w:val="20"/>
          <w:lang w:eastAsia="ja-JP"/>
        </w:rPr>
        <w:t>activated by NW, and maintained</w:t>
      </w:r>
      <w:r w:rsidR="00DF37E1" w:rsidRPr="00556B33">
        <w:rPr>
          <w:sz w:val="20"/>
          <w:lang w:eastAsia="ja-JP"/>
        </w:rPr>
        <w:t xml:space="preserve"> </w:t>
      </w:r>
      <w:r w:rsidR="00036AAB" w:rsidRPr="00556B33">
        <w:rPr>
          <w:sz w:val="20"/>
          <w:lang w:eastAsia="ja-JP"/>
        </w:rPr>
        <w:t xml:space="preserve">by UEs. </w:t>
      </w:r>
      <w:r w:rsidR="00DF37E1" w:rsidRPr="00556B33">
        <w:rPr>
          <w:sz w:val="20"/>
          <w:lang w:eastAsia="ja-JP"/>
        </w:rPr>
        <w:t>Therefore, the WID of Rel</w:t>
      </w:r>
      <w:r w:rsidR="002A14F5" w:rsidRPr="00556B33">
        <w:rPr>
          <w:sz w:val="20"/>
          <w:lang w:eastAsia="ja-JP"/>
        </w:rPr>
        <w:t xml:space="preserve">.17 plans to have a unified TCI </w:t>
      </w:r>
      <w:r w:rsidR="00DF37E1" w:rsidRPr="00556B33">
        <w:rPr>
          <w:sz w:val="20"/>
          <w:lang w:eastAsia="ja-JP"/>
        </w:rPr>
        <w:t xml:space="preserve">state </w:t>
      </w:r>
      <w:r w:rsidR="00036AAB" w:rsidRPr="00556B33">
        <w:rPr>
          <w:sz w:val="20"/>
          <w:lang w:eastAsia="ja-JP"/>
        </w:rPr>
        <w:t xml:space="preserve">framework </w:t>
      </w:r>
      <w:r w:rsidR="00DF37E1" w:rsidRPr="00556B33">
        <w:rPr>
          <w:sz w:val="20"/>
          <w:lang w:eastAsia="ja-JP"/>
        </w:rPr>
        <w:t xml:space="preserve">which </w:t>
      </w:r>
      <w:r w:rsidR="00D3448D" w:rsidRPr="00556B33">
        <w:rPr>
          <w:sz w:val="20"/>
          <w:lang w:eastAsia="ja-JP"/>
        </w:rPr>
        <w:t>applies</w:t>
      </w:r>
      <w:r w:rsidR="00DF37E1" w:rsidRPr="00556B33">
        <w:rPr>
          <w:sz w:val="20"/>
          <w:lang w:eastAsia="ja-JP"/>
        </w:rPr>
        <w:t xml:space="preserve"> </w:t>
      </w:r>
      <w:r w:rsidR="00D3448D" w:rsidRPr="00556B33">
        <w:rPr>
          <w:sz w:val="20"/>
          <w:lang w:eastAsia="ja-JP"/>
        </w:rPr>
        <w:t xml:space="preserve">to </w:t>
      </w:r>
      <w:r w:rsidR="00DF37E1" w:rsidRPr="00556B33">
        <w:rPr>
          <w:sz w:val="20"/>
          <w:lang w:eastAsia="ja-JP"/>
        </w:rPr>
        <w:t>both DL and UL</w:t>
      </w:r>
      <w:r w:rsidR="00D3448D" w:rsidRPr="00556B33">
        <w:rPr>
          <w:sz w:val="20"/>
          <w:lang w:eastAsia="ja-JP"/>
        </w:rPr>
        <w:t xml:space="preserve"> beam management with less overhead </w:t>
      </w:r>
      <w:r w:rsidR="00556B33">
        <w:rPr>
          <w:sz w:val="20"/>
          <w:lang w:eastAsia="ja-JP"/>
        </w:rPr>
        <w:t>and more flexibility</w:t>
      </w:r>
      <w:r w:rsidR="00DF37E1" w:rsidRPr="00556B33">
        <w:rPr>
          <w:sz w:val="20"/>
          <w:lang w:eastAsia="ja-JP"/>
        </w:rPr>
        <w:t>.</w:t>
      </w:r>
      <w:r w:rsidR="00D3448D" w:rsidRPr="00556B33">
        <w:rPr>
          <w:sz w:val="20"/>
          <w:lang w:eastAsia="ja-JP"/>
        </w:rPr>
        <w:t xml:space="preserve"> </w:t>
      </w:r>
    </w:p>
    <w:p w14:paraId="593CC3AE" w14:textId="11EC99EE" w:rsidR="00902D87" w:rsidRPr="00556B33" w:rsidRDefault="00A75359" w:rsidP="004C7A78">
      <w:pPr>
        <w:rPr>
          <w:sz w:val="20"/>
          <w:lang w:eastAsia="ja-JP"/>
        </w:rPr>
      </w:pPr>
      <w:r>
        <w:rPr>
          <w:sz w:val="20"/>
          <w:lang w:eastAsia="ja-JP"/>
        </w:rPr>
        <w:t xml:space="preserve">In our view, the Rel.17 unified TCI state framework can be built on that of Rel.16 TCI state as illustrated in </w:t>
      </w:r>
      <w:r>
        <w:rPr>
          <w:sz w:val="20"/>
          <w:lang w:eastAsia="ja-JP"/>
        </w:rPr>
        <w:fldChar w:fldCharType="begin"/>
      </w:r>
      <w:r>
        <w:rPr>
          <w:sz w:val="20"/>
          <w:lang w:eastAsia="ja-JP"/>
        </w:rPr>
        <w:instrText xml:space="preserve"> REF _Ref44259174 \r \h  \* MERGEFORMAT </w:instrText>
      </w:r>
      <w:r>
        <w:rPr>
          <w:sz w:val="20"/>
          <w:lang w:eastAsia="ja-JP"/>
        </w:rPr>
      </w:r>
      <w:r>
        <w:rPr>
          <w:sz w:val="20"/>
          <w:lang w:eastAsia="ja-JP"/>
        </w:rPr>
        <w:fldChar w:fldCharType="separate"/>
      </w:r>
      <w:r>
        <w:rPr>
          <w:sz w:val="20"/>
          <w:lang w:eastAsia="ja-JP"/>
        </w:rPr>
        <w:t>Figure 2</w:t>
      </w:r>
      <w:r>
        <w:rPr>
          <w:sz w:val="20"/>
          <w:lang w:eastAsia="ja-JP"/>
        </w:rPr>
        <w:fldChar w:fldCharType="end"/>
      </w:r>
      <w:r>
        <w:rPr>
          <w:sz w:val="20"/>
          <w:lang w:eastAsia="ja-JP"/>
        </w:rPr>
        <w:t xml:space="preserve">. To make unified TCI states compatible with legacy UL beam management, the first thing that come to mind is to allow the option of an SRS resource in the unified TCI state, in addition to DL RS. Secondly, it is needed to allow UL beam indication by using the unified TCI states along with the spatial relation. Therefore, one arising question </w:t>
      </w:r>
      <w:r>
        <w:rPr>
          <w:sz w:val="20"/>
          <w:lang w:eastAsia="ja-JP"/>
        </w:rPr>
        <w:lastRenderedPageBreak/>
        <w:t>would be how to align these two parallel beam indication mechanisms for UL with as less standard impact as possible. We believe RAN1 may need to comprehensively discuss this issue to have an aligned solution that takes back compatibility, overhead, latency, etc. into consideration. Moreover, w</w:t>
      </w:r>
      <w:r>
        <w:rPr>
          <w:sz w:val="20"/>
          <w:lang w:eastAsia="zh-CN"/>
        </w:rPr>
        <w:t xml:space="preserve">ith the unified TCI states, one may wonder </w:t>
      </w:r>
      <w:r>
        <w:rPr>
          <w:sz w:val="20"/>
          <w:lang w:eastAsia="ja-JP"/>
        </w:rPr>
        <w:t xml:space="preserve">whether DL and UL share a common TCI state pool, e.g. </w:t>
      </w:r>
      <w:r>
        <w:rPr>
          <w:i/>
          <w:sz w:val="20"/>
          <w:lang w:eastAsia="ja-JP"/>
        </w:rPr>
        <w:t>tci-StatesToAddModList</w:t>
      </w:r>
      <w:r>
        <w:rPr>
          <w:sz w:val="20"/>
          <w:lang w:eastAsia="ja-JP"/>
        </w:rPr>
        <w:t xml:space="preserve"> configured in </w:t>
      </w:r>
      <w:r>
        <w:rPr>
          <w:i/>
          <w:sz w:val="20"/>
          <w:lang w:eastAsia="ja-JP"/>
        </w:rPr>
        <w:t>PDSCH-Config</w:t>
      </w:r>
      <w:r>
        <w:rPr>
          <w:iCs/>
          <w:sz w:val="20"/>
          <w:lang w:eastAsia="ja-JP"/>
        </w:rPr>
        <w:t>,</w:t>
      </w:r>
      <w:r>
        <w:rPr>
          <w:sz w:val="20"/>
          <w:lang w:eastAsia="ja-JP"/>
        </w:rPr>
        <w:t xml:space="preserve"> or whether NW configures a similar unified TCI state pool in </w:t>
      </w:r>
      <w:r>
        <w:rPr>
          <w:i/>
          <w:sz w:val="20"/>
          <w:lang w:eastAsia="ja-JP"/>
        </w:rPr>
        <w:t>PUSCH-Config</w:t>
      </w:r>
      <w:r>
        <w:rPr>
          <w:sz w:val="20"/>
          <w:lang w:eastAsia="ja-JP"/>
        </w:rPr>
        <w:t xml:space="preserve"> for UL separately. </w:t>
      </w:r>
      <w:r>
        <w:rPr>
          <w:sz w:val="20"/>
          <w:lang w:eastAsia="zh-CN"/>
        </w:rPr>
        <w:t>Ou</w:t>
      </w:r>
      <w:r>
        <w:rPr>
          <w:sz w:val="20"/>
          <w:lang w:eastAsia="ja-JP"/>
        </w:rPr>
        <w:t>r thought prefers to maintain the flexibility of current DL and UL beam management. In our view, only if single unified TCI states pool can provide additional benefits</w:t>
      </w:r>
      <w:r w:rsidR="001826AB">
        <w:rPr>
          <w:sz w:val="20"/>
          <w:lang w:eastAsia="ja-JP"/>
        </w:rPr>
        <w:t>,</w:t>
      </w:r>
      <w:r>
        <w:rPr>
          <w:sz w:val="20"/>
          <w:lang w:eastAsia="ja-JP"/>
        </w:rPr>
        <w:t xml:space="preserve"> it </w:t>
      </w:r>
      <w:r w:rsidR="001826AB">
        <w:rPr>
          <w:sz w:val="20"/>
          <w:lang w:eastAsia="ja-JP"/>
        </w:rPr>
        <w:t xml:space="preserve">should </w:t>
      </w:r>
      <w:r>
        <w:rPr>
          <w:sz w:val="20"/>
          <w:lang w:eastAsia="ja-JP"/>
        </w:rPr>
        <w:t>be discussed. Hence, we have following</w:t>
      </w:r>
    </w:p>
    <w:p w14:paraId="03061133" w14:textId="5ADE2FBB" w:rsidR="003174CC" w:rsidRDefault="00BD0B56" w:rsidP="00491A0E">
      <w:pPr>
        <w:jc w:val="center"/>
        <w:rPr>
          <w:lang w:eastAsia="ja-JP"/>
        </w:rPr>
      </w:pPr>
      <w:r>
        <w:object w:dxaOrig="13890" w:dyaOrig="8476" w14:anchorId="057F60FA">
          <v:shape id="_x0000_i1026" type="#_x0000_t75" style="width:303.35pt;height:185.35pt" o:ole="">
            <v:imagedata r:id="rId11" o:title=""/>
          </v:shape>
          <o:OLEObject Type="Embed" ProgID="Visio.Drawing.15" ShapeID="_x0000_i1026" DrawAspect="Content" ObjectID="_1658317675" r:id="rId12"/>
        </w:object>
      </w:r>
    </w:p>
    <w:p w14:paraId="54145071" w14:textId="2FCE75DB" w:rsidR="00771631" w:rsidRPr="00BD0B56" w:rsidRDefault="003174CC" w:rsidP="004C7A78">
      <w:pPr>
        <w:pStyle w:val="ListParagraph"/>
        <w:numPr>
          <w:ilvl w:val="0"/>
          <w:numId w:val="13"/>
        </w:numPr>
        <w:spacing w:after="120"/>
        <w:ind w:left="357" w:hanging="357"/>
        <w:jc w:val="center"/>
        <w:rPr>
          <w:rFonts w:ascii="Times New Roman" w:hAnsi="Times New Roman" w:cs="Times New Roman"/>
          <w:b/>
          <w:sz w:val="18"/>
          <w:lang w:eastAsia="ja-JP"/>
        </w:rPr>
      </w:pPr>
      <w:bookmarkStart w:id="5" w:name="_Ref44259174"/>
      <w:r w:rsidRPr="00556B33">
        <w:rPr>
          <w:rFonts w:ascii="Times New Roman" w:hAnsi="Times New Roman" w:cs="Times New Roman"/>
          <w:b/>
          <w:sz w:val="18"/>
          <w:lang w:eastAsia="ja-JP"/>
        </w:rPr>
        <w:t xml:space="preserve">: </w:t>
      </w:r>
      <w:r w:rsidR="002A14F5" w:rsidRPr="00556B33">
        <w:rPr>
          <w:rFonts w:ascii="Times New Roman" w:hAnsi="Times New Roman" w:cs="Times New Roman"/>
          <w:b/>
          <w:sz w:val="18"/>
          <w:lang w:eastAsia="ja-JP"/>
        </w:rPr>
        <w:t xml:space="preserve">Unified TCI </w:t>
      </w:r>
      <w:r w:rsidRPr="00556B33">
        <w:rPr>
          <w:rFonts w:ascii="Times New Roman" w:hAnsi="Times New Roman" w:cs="Times New Roman"/>
          <w:b/>
          <w:sz w:val="18"/>
          <w:lang w:eastAsia="ja-JP"/>
        </w:rPr>
        <w:t>state framework for both DL and UL</w:t>
      </w:r>
      <w:bookmarkEnd w:id="5"/>
    </w:p>
    <w:p w14:paraId="3C97E42D" w14:textId="5D401C34" w:rsidR="00600971" w:rsidRPr="00556B33" w:rsidRDefault="00097E22" w:rsidP="00600971">
      <w:pPr>
        <w:pStyle w:val="ListParagraph"/>
        <w:numPr>
          <w:ilvl w:val="0"/>
          <w:numId w:val="6"/>
        </w:numPr>
        <w:spacing w:after="80"/>
        <w:rPr>
          <w:sz w:val="22"/>
          <w:szCs w:val="24"/>
        </w:rPr>
      </w:pPr>
      <w:r>
        <w:rPr>
          <w:rFonts w:ascii="Times New Roman" w:hAnsi="Times New Roman" w:cs="Times New Roman"/>
          <w:b/>
          <w:sz w:val="22"/>
          <w:szCs w:val="24"/>
        </w:rPr>
        <w:t>:</w:t>
      </w:r>
      <w:r w:rsidR="00222D69">
        <w:rPr>
          <w:rFonts w:ascii="Times New Roman" w:hAnsi="Times New Roman" w:cs="Times New Roman"/>
          <w:b/>
          <w:sz w:val="22"/>
          <w:szCs w:val="24"/>
        </w:rPr>
        <w:t xml:space="preserve"> </w:t>
      </w:r>
      <w:r w:rsidR="00600971" w:rsidRPr="00556B33">
        <w:rPr>
          <w:rFonts w:ascii="Times New Roman" w:hAnsi="Times New Roman" w:cs="Times New Roman"/>
          <w:b/>
          <w:sz w:val="22"/>
          <w:szCs w:val="24"/>
        </w:rPr>
        <w:t xml:space="preserve">Study and specify (if necessary) </w:t>
      </w:r>
      <w:r w:rsidR="005F0811" w:rsidRPr="00556B33">
        <w:rPr>
          <w:rFonts w:ascii="Times New Roman" w:hAnsi="Times New Roman" w:cs="Times New Roman"/>
          <w:b/>
          <w:sz w:val="22"/>
          <w:szCs w:val="24"/>
        </w:rPr>
        <w:t>a</w:t>
      </w:r>
      <w:r w:rsidR="004C7A78" w:rsidRPr="00556B33">
        <w:rPr>
          <w:rFonts w:ascii="Times New Roman" w:hAnsi="Times New Roman" w:cs="Times New Roman"/>
          <w:b/>
          <w:sz w:val="22"/>
          <w:szCs w:val="24"/>
        </w:rPr>
        <w:t xml:space="preserve"> unified </w:t>
      </w:r>
      <w:r w:rsidR="002A14F5" w:rsidRPr="00556B33">
        <w:rPr>
          <w:rFonts w:ascii="Times New Roman" w:hAnsi="Times New Roman" w:cs="Times New Roman"/>
          <w:b/>
          <w:sz w:val="22"/>
          <w:szCs w:val="24"/>
        </w:rPr>
        <w:t xml:space="preserve">TCI </w:t>
      </w:r>
      <w:r w:rsidR="00600971" w:rsidRPr="00556B33">
        <w:rPr>
          <w:rFonts w:ascii="Times New Roman" w:hAnsi="Times New Roman" w:cs="Times New Roman"/>
          <w:b/>
          <w:sz w:val="22"/>
          <w:szCs w:val="24"/>
        </w:rPr>
        <w:t xml:space="preserve">state framework which can be applied to UL beam </w:t>
      </w:r>
      <w:r w:rsidR="00EB0130" w:rsidRPr="00556B33">
        <w:rPr>
          <w:rFonts w:ascii="Times New Roman" w:hAnsi="Times New Roman" w:cs="Times New Roman"/>
          <w:b/>
          <w:sz w:val="22"/>
          <w:szCs w:val="24"/>
        </w:rPr>
        <w:t>management</w:t>
      </w:r>
      <w:r w:rsidR="004C7A78" w:rsidRPr="00556B33">
        <w:rPr>
          <w:rFonts w:ascii="Times New Roman" w:hAnsi="Times New Roman" w:cs="Times New Roman"/>
          <w:b/>
          <w:sz w:val="22"/>
          <w:szCs w:val="24"/>
        </w:rPr>
        <w:t xml:space="preserve"> in addition to DL beam</w:t>
      </w:r>
      <w:r w:rsidR="00EB0130" w:rsidRPr="00556B33">
        <w:rPr>
          <w:rFonts w:ascii="Times New Roman" w:hAnsi="Times New Roman" w:cs="Times New Roman"/>
          <w:b/>
          <w:sz w:val="22"/>
          <w:szCs w:val="24"/>
        </w:rPr>
        <w:t xml:space="preserve"> management</w:t>
      </w:r>
      <w:r w:rsidR="00600971" w:rsidRPr="00556B33">
        <w:rPr>
          <w:rFonts w:ascii="Times New Roman" w:hAnsi="Times New Roman" w:cs="Times New Roman"/>
          <w:b/>
          <w:sz w:val="22"/>
          <w:szCs w:val="24"/>
        </w:rPr>
        <w:t>.</w:t>
      </w:r>
    </w:p>
    <w:p w14:paraId="32706900" w14:textId="4842113D" w:rsidR="005F0811" w:rsidRPr="00B22FAB" w:rsidRDefault="005F0811" w:rsidP="00C925AA">
      <w:pPr>
        <w:pStyle w:val="Heading1"/>
        <w:rPr>
          <w:i/>
          <w:lang w:eastAsia="ja-JP"/>
        </w:rPr>
      </w:pPr>
      <w:r w:rsidRPr="00C925AA">
        <w:rPr>
          <w:sz w:val="24"/>
          <w:lang w:eastAsia="ja-JP"/>
        </w:rPr>
        <w:t xml:space="preserve">Uplink panel-specific beam </w:t>
      </w:r>
      <w:r w:rsidR="00BF79F1" w:rsidRPr="00C925AA">
        <w:rPr>
          <w:sz w:val="24"/>
          <w:lang w:eastAsia="ja-JP"/>
        </w:rPr>
        <w:t>management</w:t>
      </w:r>
    </w:p>
    <w:p w14:paraId="3F88728D" w14:textId="3F16EF13" w:rsidR="00C2789D" w:rsidRPr="00C43D48" w:rsidRDefault="00C2789D" w:rsidP="00C2789D">
      <w:pPr>
        <w:spacing w:after="80"/>
        <w:rPr>
          <w:sz w:val="20"/>
          <w:szCs w:val="20"/>
          <w:lang w:eastAsia="zh-CN"/>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1826AB">
        <w:rPr>
          <w:sz w:val="20"/>
          <w:szCs w:val="20"/>
          <w:lang w:eastAsia="zh-CN"/>
        </w:rPr>
        <w:t>good</w:t>
      </w:r>
      <w:r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until RAN1#98 and then the conclusion came suddenly that this feature may be postponed to Rel.17 due to no</w:t>
      </w:r>
      <w:r w:rsidR="001B7512">
        <w:rPr>
          <w:sz w:val="20"/>
          <w:szCs w:val="20"/>
          <w:lang w:eastAsia="zh-CN"/>
        </w:rPr>
        <w:t xml:space="preserve"> </w:t>
      </w:r>
      <w:r w:rsidR="00EF232A">
        <w:rPr>
          <w:sz w:val="20"/>
          <w:szCs w:val="20"/>
          <w:lang w:eastAsia="zh-CN"/>
        </w:rPr>
        <w:t xml:space="preserve">consensus. </w:t>
      </w:r>
      <w:r w:rsidR="00B47E15">
        <w:rPr>
          <w:sz w:val="20"/>
          <w:szCs w:val="20"/>
          <w:lang w:eastAsia="zh-CN"/>
        </w:rPr>
        <w:t>With a new start</w:t>
      </w:r>
      <w:r w:rsidR="0001195E">
        <w:rPr>
          <w:sz w:val="20"/>
          <w:szCs w:val="20"/>
          <w:lang w:eastAsia="zh-CN"/>
        </w:rPr>
        <w:t xml:space="preserve"> in Rel.17</w:t>
      </w:r>
      <w:r w:rsidR="00B47E15">
        <w:rPr>
          <w:sz w:val="20"/>
          <w:szCs w:val="20"/>
          <w:lang w:eastAsia="zh-CN"/>
        </w:rPr>
        <w:t xml:space="preserve">, RAN1 may </w:t>
      </w:r>
      <w:r w:rsidR="0001195E">
        <w:rPr>
          <w:sz w:val="20"/>
          <w:szCs w:val="20"/>
          <w:lang w:eastAsia="zh-CN"/>
        </w:rPr>
        <w:t>continue the discussion, and reconsider to design/</w:t>
      </w:r>
      <w:r w:rsidR="00B47E15">
        <w:rPr>
          <w:sz w:val="20"/>
          <w:szCs w:val="20"/>
          <w:lang w:eastAsia="zh-CN"/>
        </w:rPr>
        <w:t>specify the panel-specific beam selection in UL.</w:t>
      </w:r>
      <w:r w:rsidR="0001195E">
        <w:rPr>
          <w:sz w:val="20"/>
          <w:szCs w:val="20"/>
          <w:lang w:eastAsia="zh-CN"/>
        </w:rPr>
        <w:t xml:space="preserve"> </w:t>
      </w:r>
      <w:r w:rsidR="008D47E8">
        <w:rPr>
          <w:sz w:val="20"/>
          <w:szCs w:val="20"/>
          <w:lang w:eastAsia="zh-CN"/>
        </w:rPr>
        <w:t xml:space="preserve">Moreover, </w:t>
      </w:r>
      <w:r w:rsidR="008D47E8">
        <w:rPr>
          <w:sz w:val="20"/>
          <w:lang w:eastAsia="ja-JP"/>
        </w:rPr>
        <w:t xml:space="preserve">UL panel-specific beam indication can be even facilitated </w:t>
      </w:r>
      <w:r w:rsidR="008D47E8">
        <w:rPr>
          <w:sz w:val="20"/>
          <w:szCs w:val="20"/>
          <w:lang w:eastAsia="zh-CN"/>
        </w:rPr>
        <w:t xml:space="preserve">by the adoption of the unified TCI state framework discussed in Section </w:t>
      </w:r>
      <w:r w:rsidR="008D47E8">
        <w:rPr>
          <w:sz w:val="20"/>
          <w:szCs w:val="20"/>
          <w:lang w:eastAsia="zh-CN"/>
        </w:rPr>
        <w:fldChar w:fldCharType="begin"/>
      </w:r>
      <w:r w:rsidR="008D47E8">
        <w:rPr>
          <w:sz w:val="20"/>
          <w:szCs w:val="20"/>
          <w:lang w:eastAsia="zh-CN"/>
        </w:rPr>
        <w:instrText xml:space="preserve"> REF _Ref46237644 \r \h </w:instrText>
      </w:r>
      <w:r w:rsidR="008D47E8">
        <w:rPr>
          <w:sz w:val="20"/>
          <w:szCs w:val="20"/>
          <w:lang w:eastAsia="zh-CN"/>
        </w:rPr>
      </w:r>
      <w:r w:rsidR="008D47E8">
        <w:rPr>
          <w:sz w:val="20"/>
          <w:szCs w:val="20"/>
          <w:lang w:eastAsia="zh-CN"/>
        </w:rPr>
        <w:fldChar w:fldCharType="separate"/>
      </w:r>
      <w:r w:rsidR="008D47E8">
        <w:rPr>
          <w:sz w:val="20"/>
          <w:szCs w:val="20"/>
          <w:lang w:eastAsia="zh-CN"/>
        </w:rPr>
        <w:t>4</w:t>
      </w:r>
      <w:r w:rsidR="008D47E8">
        <w:rPr>
          <w:sz w:val="20"/>
          <w:szCs w:val="20"/>
          <w:lang w:eastAsia="zh-CN"/>
        </w:rPr>
        <w:fldChar w:fldCharType="end"/>
      </w:r>
      <w:r w:rsidR="008D47E8">
        <w:rPr>
          <w:sz w:val="20"/>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9D" w14:paraId="13C09A90" w14:textId="77777777" w:rsidTr="00C54253">
        <w:trPr>
          <w:trHeight w:val="4405"/>
        </w:trPr>
        <w:tc>
          <w:tcPr>
            <w:tcW w:w="9259" w:type="dxa"/>
          </w:tcPr>
          <w:p w14:paraId="709F533A" w14:textId="77777777" w:rsidR="00C2789D" w:rsidRPr="007609B8" w:rsidRDefault="00C2789D" w:rsidP="00B72626">
            <w:pPr>
              <w:spacing w:before="60" w:after="0"/>
              <w:rPr>
                <w:sz w:val="20"/>
                <w:szCs w:val="20"/>
                <w:highlight w:val="green"/>
              </w:rPr>
            </w:pPr>
            <w:r w:rsidRPr="007609B8">
              <w:rPr>
                <w:sz w:val="20"/>
                <w:szCs w:val="20"/>
                <w:highlight w:val="green"/>
              </w:rPr>
              <w:t>Agreement</w:t>
            </w:r>
          </w:p>
          <w:p w14:paraId="2B48C744" w14:textId="77777777" w:rsidR="00C2789D" w:rsidRPr="007609B8" w:rsidRDefault="00C2789D" w:rsidP="00B72626">
            <w:pPr>
              <w:spacing w:after="0"/>
              <w:rPr>
                <w:sz w:val="20"/>
                <w:szCs w:val="20"/>
              </w:rPr>
            </w:pPr>
            <w:r w:rsidRPr="007609B8">
              <w:rPr>
                <w:sz w:val="20"/>
                <w:szCs w:val="20"/>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22114476" w14:textId="77777777" w:rsidR="00C2789D" w:rsidRDefault="00C2789D" w:rsidP="00B72626">
            <w:pPr>
              <w:spacing w:after="0"/>
              <w:contextualSpacing/>
              <w:rPr>
                <w:sz w:val="20"/>
                <w:szCs w:val="20"/>
              </w:rPr>
            </w:pPr>
          </w:p>
          <w:p w14:paraId="0B7C24A8" w14:textId="77777777" w:rsidR="00C2789D" w:rsidRPr="007609B8" w:rsidRDefault="00C2789D" w:rsidP="00B72626">
            <w:pPr>
              <w:spacing w:after="0"/>
              <w:contextualSpacing/>
              <w:rPr>
                <w:sz w:val="20"/>
                <w:szCs w:val="20"/>
              </w:rPr>
            </w:pPr>
            <w:r w:rsidRPr="007609B8">
              <w:rPr>
                <w:sz w:val="20"/>
                <w:szCs w:val="20"/>
              </w:rPr>
              <w:t xml:space="preserve">gNB can configure/indicate </w:t>
            </w:r>
            <w:r w:rsidRPr="007609B8">
              <w:rPr>
                <w:rFonts w:hint="eastAsia"/>
                <w:sz w:val="20"/>
                <w:szCs w:val="20"/>
              </w:rPr>
              <w:t>panel-specific transmission</w:t>
            </w:r>
            <w:r w:rsidRPr="007609B8">
              <w:rPr>
                <w:sz w:val="20"/>
                <w:szCs w:val="20"/>
              </w:rPr>
              <w:t xml:space="preserve"> for UL transmission, via</w:t>
            </w:r>
          </w:p>
          <w:p w14:paraId="349706F1" w14:textId="77777777" w:rsidR="00C2789D" w:rsidRPr="007609B8" w:rsidRDefault="00C2789D" w:rsidP="00C2789D">
            <w:pPr>
              <w:numPr>
                <w:ilvl w:val="0"/>
                <w:numId w:val="11"/>
              </w:numPr>
              <w:autoSpaceDE/>
              <w:autoSpaceDN/>
              <w:spacing w:after="0"/>
              <w:ind w:left="720" w:hanging="320"/>
              <w:contextualSpacing/>
              <w:jc w:val="left"/>
              <w:rPr>
                <w:sz w:val="20"/>
                <w:szCs w:val="20"/>
              </w:rPr>
            </w:pPr>
            <w:r w:rsidRPr="007609B8">
              <w:rPr>
                <w:sz w:val="20"/>
                <w:szCs w:val="20"/>
              </w:rPr>
              <w:t xml:space="preserve">Alt.2: </w:t>
            </w:r>
            <w:r w:rsidRPr="007609B8">
              <w:rPr>
                <w:rFonts w:hint="eastAsia"/>
                <w:sz w:val="20"/>
                <w:szCs w:val="20"/>
              </w:rPr>
              <w:t xml:space="preserve">Introduce a UL-TCI framework </w:t>
            </w:r>
            <w:r w:rsidRPr="007609B8">
              <w:rPr>
                <w:sz w:val="20"/>
                <w:szCs w:val="20"/>
              </w:rPr>
              <w:t>in Rel-16 and support UL-TCI based signaling analogous to DL beam indication supported in Rel-15, e.g., as illustrated below.</w:t>
            </w:r>
          </w:p>
          <w:p w14:paraId="20F21116" w14:textId="77777777" w:rsidR="00C2789D" w:rsidRPr="007609B8" w:rsidRDefault="00C2789D" w:rsidP="00C2789D">
            <w:pPr>
              <w:numPr>
                <w:ilvl w:val="1"/>
                <w:numId w:val="11"/>
              </w:numPr>
              <w:autoSpaceDE/>
              <w:autoSpaceDN/>
              <w:spacing w:after="0"/>
              <w:contextualSpacing/>
              <w:jc w:val="left"/>
              <w:rPr>
                <w:sz w:val="20"/>
                <w:szCs w:val="20"/>
              </w:rPr>
            </w:pPr>
            <w:r w:rsidRPr="007609B8">
              <w:rPr>
                <w:sz w:val="20"/>
                <w:szCs w:val="20"/>
              </w:rPr>
              <w:t>A new panel ID may or may not be introduced.</w:t>
            </w:r>
          </w:p>
          <w:p w14:paraId="0186420D" w14:textId="77777777" w:rsidR="00C2789D" w:rsidRPr="007609B8" w:rsidRDefault="00C2789D" w:rsidP="00C2789D">
            <w:pPr>
              <w:numPr>
                <w:ilvl w:val="1"/>
                <w:numId w:val="11"/>
              </w:numPr>
              <w:autoSpaceDE/>
              <w:autoSpaceDN/>
              <w:spacing w:after="0"/>
              <w:contextualSpacing/>
              <w:jc w:val="left"/>
              <w:rPr>
                <w:sz w:val="20"/>
                <w:szCs w:val="20"/>
              </w:rPr>
            </w:pPr>
            <w:r w:rsidRPr="007609B8">
              <w:rPr>
                <w:sz w:val="20"/>
                <w:szCs w:val="20"/>
              </w:rPr>
              <w:t>A panel specific signaling is performed using UL-TCI state</w:t>
            </w:r>
          </w:p>
          <w:p w14:paraId="16A0A406" w14:textId="77777777" w:rsidR="00C2789D" w:rsidRPr="007609B8" w:rsidRDefault="00C2789D" w:rsidP="00C2789D">
            <w:pPr>
              <w:numPr>
                <w:ilvl w:val="0"/>
                <w:numId w:val="11"/>
              </w:numPr>
              <w:autoSpaceDE/>
              <w:autoSpaceDN/>
              <w:spacing w:after="0"/>
              <w:ind w:left="720" w:hanging="320"/>
              <w:contextualSpacing/>
              <w:jc w:val="left"/>
              <w:rPr>
                <w:sz w:val="20"/>
                <w:szCs w:val="20"/>
              </w:rPr>
            </w:pPr>
            <w:r w:rsidRPr="007609B8">
              <w:rPr>
                <w:sz w:val="20"/>
                <w:szCs w:val="20"/>
              </w:rPr>
              <w:t>Alt.3: a new panel-ID is introduced, which can be implicitly/explicitly applied to the transmission for a target RS resource or resource set, for PUCCH resource, for SRS resource, FFS for PRACH</w:t>
            </w:r>
          </w:p>
          <w:p w14:paraId="2BC12F9B" w14:textId="77777777" w:rsidR="00C2789D" w:rsidRPr="007609B8" w:rsidRDefault="00C2789D" w:rsidP="00C2789D">
            <w:pPr>
              <w:numPr>
                <w:ilvl w:val="1"/>
                <w:numId w:val="11"/>
              </w:numPr>
              <w:autoSpaceDE/>
              <w:autoSpaceDN/>
              <w:spacing w:after="0"/>
              <w:contextualSpacing/>
              <w:jc w:val="left"/>
              <w:rPr>
                <w:sz w:val="20"/>
                <w:szCs w:val="20"/>
              </w:rPr>
            </w:pPr>
            <w:r w:rsidRPr="007609B8">
              <w:rPr>
                <w:sz w:val="20"/>
                <w:szCs w:val="20"/>
              </w:rPr>
              <w:t>A panel specific signaling is performed using the new panel-ID implicitly (e.g., by DL beam reporting enhancement) or explicitly.</w:t>
            </w:r>
          </w:p>
          <w:p w14:paraId="2D4C1FD8" w14:textId="316CE3E9" w:rsidR="00C2789D" w:rsidRPr="007609B8" w:rsidRDefault="00C2789D" w:rsidP="00C2789D">
            <w:pPr>
              <w:numPr>
                <w:ilvl w:val="1"/>
                <w:numId w:val="11"/>
              </w:numPr>
              <w:autoSpaceDE/>
              <w:autoSpaceDN/>
              <w:spacing w:after="0"/>
              <w:contextualSpacing/>
              <w:jc w:val="left"/>
              <w:rPr>
                <w:sz w:val="20"/>
                <w:szCs w:val="20"/>
              </w:rPr>
            </w:pPr>
            <w:r w:rsidRPr="007609B8">
              <w:rPr>
                <w:sz w:val="20"/>
                <w:szCs w:val="20"/>
              </w:rPr>
              <w:t>If explicitly signaled, the ID can be configured in the target RS/channel or reference RS</w:t>
            </w:r>
            <w:r w:rsidR="00B47E15">
              <w:rPr>
                <w:sz w:val="20"/>
                <w:szCs w:val="20"/>
              </w:rPr>
              <w:t xml:space="preserve"> </w:t>
            </w:r>
            <w:r w:rsidRPr="007609B8">
              <w:rPr>
                <w:sz w:val="20"/>
                <w:szCs w:val="20"/>
              </w:rPr>
              <w:t>(e.g., in the DL RS resource configuration or in spatial relation info).</w:t>
            </w:r>
          </w:p>
          <w:p w14:paraId="139D472F" w14:textId="2D3C6D7B" w:rsidR="00C2789D" w:rsidRPr="00C54253" w:rsidRDefault="00C2789D" w:rsidP="00C54253">
            <w:pPr>
              <w:numPr>
                <w:ilvl w:val="1"/>
                <w:numId w:val="11"/>
              </w:numPr>
              <w:autoSpaceDE/>
              <w:autoSpaceDN/>
              <w:spacing w:after="80"/>
              <w:ind w:left="1202" w:hanging="403"/>
              <w:contextualSpacing/>
              <w:jc w:val="left"/>
              <w:rPr>
                <w:sz w:val="20"/>
                <w:szCs w:val="20"/>
              </w:rPr>
            </w:pPr>
            <w:r w:rsidRPr="007609B8">
              <w:rPr>
                <w:sz w:val="20"/>
                <w:szCs w:val="20"/>
              </w:rPr>
              <w:t>No new MAC CE is specified for the purpose of introducing the ID.</w:t>
            </w:r>
          </w:p>
        </w:tc>
      </w:tr>
    </w:tbl>
    <w:p w14:paraId="5EF63A89" w14:textId="77777777" w:rsidR="00C2789D" w:rsidRPr="00C925AA" w:rsidRDefault="00C2789D" w:rsidP="00C925AA">
      <w:pPr>
        <w:pStyle w:val="Heading2"/>
        <w:rPr>
          <w:sz w:val="22"/>
          <w:lang w:eastAsia="ja-JP"/>
        </w:rPr>
      </w:pPr>
      <w:r w:rsidRPr="00C925AA">
        <w:rPr>
          <w:sz w:val="22"/>
          <w:lang w:eastAsia="ja-JP"/>
        </w:rPr>
        <w:t>A new ID for panel-specific beam selection</w:t>
      </w:r>
    </w:p>
    <w:p w14:paraId="27308AC3" w14:textId="08EFD444" w:rsidR="00C2789D" w:rsidRDefault="00C2789D" w:rsidP="00C2789D">
      <w:pPr>
        <w:spacing w:after="80"/>
        <w:rPr>
          <w:sz w:val="20"/>
        </w:rPr>
      </w:pPr>
      <w:r>
        <w:rPr>
          <w:sz w:val="20"/>
        </w:rPr>
        <w:t xml:space="preserve">In </w:t>
      </w:r>
      <w:r w:rsidR="00D0123E">
        <w:rPr>
          <w:rFonts w:hint="eastAsia"/>
          <w:sz w:val="20"/>
          <w:lang w:eastAsia="zh-CN"/>
        </w:rPr>
        <w:t xml:space="preserve">Rel.17, </w:t>
      </w:r>
      <w:r w:rsidRPr="00C43D48">
        <w:rPr>
          <w:sz w:val="20"/>
        </w:rPr>
        <w:t xml:space="preserve">RAN1 </w:t>
      </w:r>
      <w:r w:rsidR="00D0123E">
        <w:rPr>
          <w:sz w:val="20"/>
        </w:rPr>
        <w:t xml:space="preserve">can </w:t>
      </w:r>
      <w:r>
        <w:rPr>
          <w:sz w:val="20"/>
        </w:rPr>
        <w:t xml:space="preserve">further </w:t>
      </w:r>
      <w:r w:rsidRPr="00C43D48">
        <w:rPr>
          <w:sz w:val="20"/>
        </w:rPr>
        <w:t xml:space="preserve">narrow down </w:t>
      </w:r>
      <w:r w:rsidR="00D0123E">
        <w:rPr>
          <w:sz w:val="20"/>
        </w:rPr>
        <w:t xml:space="preserve">between </w:t>
      </w:r>
      <w:r>
        <w:rPr>
          <w:sz w:val="20"/>
        </w:rPr>
        <w:t>Alt.2 and Alt.3 listed in above agreement</w:t>
      </w:r>
      <w:r w:rsidRPr="00C43D48">
        <w:rPr>
          <w:sz w:val="20"/>
        </w:rPr>
        <w:t xml:space="preserve"> for panel-specific </w:t>
      </w:r>
      <w:r>
        <w:rPr>
          <w:sz w:val="20"/>
        </w:rPr>
        <w:t>beam selection</w:t>
      </w:r>
      <w:r w:rsidRPr="00C43D48">
        <w:rPr>
          <w:sz w:val="20"/>
        </w:rPr>
        <w:t xml:space="preserve"> </w:t>
      </w:r>
      <w:r>
        <w:rPr>
          <w:sz w:val="20"/>
        </w:rPr>
        <w:t>on UE antenna panels</w:t>
      </w:r>
      <w:r w:rsidRPr="00C43D48">
        <w:rPr>
          <w:sz w:val="20"/>
        </w:rPr>
        <w:t xml:space="preserve">. </w:t>
      </w:r>
      <w:r>
        <w:rPr>
          <w:sz w:val="20"/>
        </w:rPr>
        <w:t xml:space="preserve">Since the usage of SRS resource set as a panel ID is no longer an option, </w:t>
      </w:r>
      <w:r w:rsidRPr="00C43D48">
        <w:rPr>
          <w:sz w:val="20"/>
        </w:rPr>
        <w:t xml:space="preserve">allow us to </w:t>
      </w:r>
      <w:r>
        <w:rPr>
          <w:sz w:val="20"/>
        </w:rPr>
        <w:t>present our views on</w:t>
      </w:r>
      <w:r w:rsidRPr="00C43D48">
        <w:rPr>
          <w:sz w:val="20"/>
        </w:rPr>
        <w:t xml:space="preserve"> </w:t>
      </w:r>
      <w:r>
        <w:rPr>
          <w:sz w:val="20"/>
        </w:rPr>
        <w:t xml:space="preserve">Alt.2 </w:t>
      </w:r>
      <w:r w:rsidR="00013985">
        <w:rPr>
          <w:sz w:val="20"/>
        </w:rPr>
        <w:t xml:space="preserve">and Alt.3 </w:t>
      </w:r>
      <w:r w:rsidRPr="00C43D48">
        <w:rPr>
          <w:sz w:val="20"/>
        </w:rPr>
        <w:t xml:space="preserve">in what follows. </w:t>
      </w:r>
      <w:r w:rsidR="006E5AA5">
        <w:rPr>
          <w:sz w:val="20"/>
        </w:rPr>
        <w:t>Regarding</w:t>
      </w:r>
      <w:r w:rsidR="00013985">
        <w:rPr>
          <w:sz w:val="20"/>
        </w:rPr>
        <w:t xml:space="preserve"> Alt.2, from WID perspective, it aligns well with the </w:t>
      </w:r>
      <w:r w:rsidR="00013985">
        <w:rPr>
          <w:sz w:val="20"/>
        </w:rPr>
        <w:lastRenderedPageBreak/>
        <w:t>unified TCI state</w:t>
      </w:r>
      <w:r w:rsidR="006E5AA5">
        <w:rPr>
          <w:sz w:val="20"/>
        </w:rPr>
        <w:t>.</w:t>
      </w:r>
      <w:r w:rsidR="00643E1D">
        <w:rPr>
          <w:sz w:val="20"/>
        </w:rPr>
        <w:t xml:space="preserve"> </w:t>
      </w:r>
      <w:r w:rsidR="006E5AA5">
        <w:rPr>
          <w:sz w:val="20"/>
        </w:rPr>
        <w:t>H</w:t>
      </w:r>
      <w:r w:rsidR="00643E1D">
        <w:rPr>
          <w:sz w:val="20"/>
        </w:rPr>
        <w:t xml:space="preserve">owever the TCI state is not directly linked to a UE panel in </w:t>
      </w:r>
      <w:r w:rsidR="006E5AA5">
        <w:rPr>
          <w:sz w:val="20"/>
        </w:rPr>
        <w:t>current specification</w:t>
      </w:r>
      <w:r w:rsidR="00643E1D">
        <w:rPr>
          <w:sz w:val="20"/>
        </w:rPr>
        <w:t xml:space="preserve">. </w:t>
      </w:r>
      <w:r w:rsidR="00474A57">
        <w:rPr>
          <w:sz w:val="20"/>
        </w:rPr>
        <w:t>So to enable TCI state based panel-specific beam selection, t</w:t>
      </w:r>
      <w:r w:rsidR="00354004">
        <w:rPr>
          <w:sz w:val="20"/>
        </w:rPr>
        <w:t>he association between unified TCI state and UL panel should be specified e</w:t>
      </w:r>
      <w:r w:rsidR="00474A57">
        <w:rPr>
          <w:sz w:val="20"/>
        </w:rPr>
        <w:t>ither explicitly or implicitly.</w:t>
      </w:r>
    </w:p>
    <w:p w14:paraId="489B4E93" w14:textId="6048F6FA" w:rsidR="00C2789D" w:rsidRPr="00C43D48" w:rsidRDefault="00C2789D" w:rsidP="00C2789D">
      <w:pPr>
        <w:spacing w:after="80"/>
        <w:rPr>
          <w:sz w:val="20"/>
        </w:rPr>
      </w:pPr>
      <w:r>
        <w:rPr>
          <w:sz w:val="20"/>
        </w:rPr>
        <w:t xml:space="preserve">As for </w:t>
      </w:r>
      <w:r w:rsidRPr="00C43D48">
        <w:rPr>
          <w:sz w:val="20"/>
        </w:rPr>
        <w:t>Alt.</w:t>
      </w:r>
      <w:r>
        <w:rPr>
          <w:sz w:val="20"/>
        </w:rPr>
        <w:t xml:space="preserve">3, a new ID either implicitly or explicitly introduced can be used for panel-specific beam selection. Given the current </w:t>
      </w:r>
      <w:r w:rsidR="00352F3C" w:rsidRPr="00352F3C">
        <w:rPr>
          <w:sz w:val="20"/>
        </w:rPr>
        <w:t>spatial relation</w:t>
      </w:r>
      <w:r>
        <w:rPr>
          <w:sz w:val="20"/>
        </w:rPr>
        <w:t xml:space="preserve"> based UL beam indication, it is reasonable to explicitly configure the ID in </w:t>
      </w:r>
      <w:r w:rsidR="00352F3C" w:rsidRPr="00352F3C">
        <w:rPr>
          <w:sz w:val="20"/>
        </w:rPr>
        <w:t>spatial relation</w:t>
      </w:r>
      <w:r w:rsidR="00352F3C">
        <w:rPr>
          <w:sz w:val="20"/>
        </w:rPr>
        <w:t xml:space="preserve"> </w:t>
      </w:r>
      <w:r>
        <w:rPr>
          <w:sz w:val="20"/>
        </w:rPr>
        <w:t xml:space="preserve">for simplicity. </w:t>
      </w:r>
      <w:r w:rsidRPr="00C43D48">
        <w:rPr>
          <w:sz w:val="20"/>
        </w:rPr>
        <w:t xml:space="preserve">Therefore, we </w:t>
      </w:r>
      <w:r>
        <w:rPr>
          <w:sz w:val="20"/>
        </w:rPr>
        <w:t xml:space="preserve">believe Alt.3 is a reasonable choice to provide an ID for specifically controlling UE’s antenna panel(s). </w:t>
      </w:r>
    </w:p>
    <w:p w14:paraId="09222C4E" w14:textId="2944C756" w:rsidR="00C2789D" w:rsidRPr="00556B33" w:rsidRDefault="00A75359" w:rsidP="00C2789D">
      <w:pPr>
        <w:pStyle w:val="ListParagraph"/>
        <w:numPr>
          <w:ilvl w:val="0"/>
          <w:numId w:val="6"/>
        </w:numPr>
        <w:spacing w:after="8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01195E">
        <w:rPr>
          <w:rFonts w:ascii="Times New Roman" w:hAnsi="Times New Roman" w:cs="Times New Roman"/>
          <w:b/>
          <w:sz w:val="22"/>
          <w:szCs w:val="22"/>
        </w:rPr>
        <w:t>An</w:t>
      </w:r>
      <w:r w:rsidR="00C2789D" w:rsidRPr="00556B33">
        <w:rPr>
          <w:rFonts w:ascii="Times New Roman" w:hAnsi="Times New Roman" w:cs="Times New Roman"/>
          <w:b/>
          <w:sz w:val="22"/>
          <w:szCs w:val="22"/>
        </w:rPr>
        <w:t xml:space="preserve"> ID explicitly configured in </w:t>
      </w:r>
      <w:r w:rsidR="00352F3C" w:rsidRPr="00556B33">
        <w:rPr>
          <w:rFonts w:ascii="Times New Roman" w:hAnsi="Times New Roman" w:cs="Times New Roman"/>
          <w:b/>
          <w:i/>
          <w:sz w:val="22"/>
          <w:szCs w:val="22"/>
        </w:rPr>
        <w:t>s</w:t>
      </w:r>
      <w:r w:rsidR="00C2789D" w:rsidRPr="00556B33">
        <w:rPr>
          <w:rFonts w:ascii="Times New Roman" w:hAnsi="Times New Roman" w:cs="Times New Roman"/>
          <w:b/>
          <w:i/>
          <w:sz w:val="22"/>
          <w:szCs w:val="22"/>
        </w:rPr>
        <w:t>patialRelationInfo</w:t>
      </w:r>
      <w:r w:rsidR="00C2789D" w:rsidRPr="00556B33">
        <w:rPr>
          <w:rFonts w:ascii="Times New Roman" w:hAnsi="Times New Roman" w:cs="Times New Roman"/>
          <w:b/>
          <w:sz w:val="22"/>
          <w:szCs w:val="22"/>
        </w:rPr>
        <w:t xml:space="preserve"> can be used for UL panel-specific beam selection.</w:t>
      </w:r>
    </w:p>
    <w:p w14:paraId="7F0A6A13" w14:textId="73FCD3D2" w:rsidR="00C2789D" w:rsidRDefault="00C2789D" w:rsidP="00C925AA">
      <w:pPr>
        <w:pStyle w:val="Heading2"/>
        <w:rPr>
          <w:lang w:eastAsia="ja-JP"/>
        </w:rPr>
      </w:pPr>
      <w:r w:rsidRPr="00C925AA">
        <w:rPr>
          <w:sz w:val="22"/>
          <w:lang w:eastAsia="ja-JP"/>
        </w:rPr>
        <w:t>Panel-specific beam selection for other UL channels/signal</w:t>
      </w:r>
      <w:r w:rsidR="00474A57">
        <w:rPr>
          <w:sz w:val="22"/>
          <w:lang w:eastAsia="ja-JP"/>
        </w:rPr>
        <w:t>s</w:t>
      </w:r>
    </w:p>
    <w:p w14:paraId="4D944E84" w14:textId="16C08D63" w:rsidR="00C2789D" w:rsidRPr="00075308" w:rsidRDefault="00C2789D" w:rsidP="00C2789D">
      <w:pPr>
        <w:pStyle w:val="LGTdoc"/>
        <w:spacing w:before="80" w:afterLines="0" w:after="80" w:line="240" w:lineRule="auto"/>
        <w:contextualSpacing/>
        <w:rPr>
          <w:rFonts w:eastAsiaTheme="minorEastAsia"/>
          <w:kern w:val="0"/>
          <w:sz w:val="20"/>
          <w:szCs w:val="22"/>
          <w:lang w:val="en-US" w:eastAsia="zh-CN"/>
        </w:rPr>
      </w:pPr>
      <w:r w:rsidRPr="0001195E">
        <w:rPr>
          <w:sz w:val="20"/>
          <w:lang w:eastAsia="ja-JP"/>
        </w:rPr>
        <w:t xml:space="preserve">In RAN1#96bis, RAN1 agreed the MPUE-Assumption3 that multiple panels at UE can be simultaneously activated, but only one panel can be used for UL transmission. In addition, </w:t>
      </w:r>
      <w:r w:rsidRPr="0001195E">
        <w:rPr>
          <w:rFonts w:eastAsiaTheme="minorEastAsia"/>
          <w:kern w:val="0"/>
          <w:sz w:val="18"/>
          <w:szCs w:val="22"/>
          <w:lang w:val="en-US" w:eastAsia="zh-CN"/>
        </w:rPr>
        <w:t>the discussion of panel-specific transmission has been extended to UL channels/signal</w:t>
      </w:r>
      <w:r w:rsidR="00474A57">
        <w:rPr>
          <w:rFonts w:eastAsiaTheme="minorEastAsia"/>
          <w:kern w:val="0"/>
          <w:sz w:val="18"/>
          <w:szCs w:val="22"/>
          <w:lang w:val="en-US" w:eastAsia="zh-CN"/>
        </w:rPr>
        <w:t>s</w:t>
      </w:r>
      <w:r w:rsidRPr="0001195E">
        <w:rPr>
          <w:rFonts w:eastAsiaTheme="minorEastAsia"/>
          <w:kern w:val="0"/>
          <w:sz w:val="18"/>
          <w:szCs w:val="22"/>
          <w:lang w:val="en-US" w:eastAsia="zh-CN"/>
        </w:rPr>
        <w:t xml:space="preserve"> other than PUSCH, i.e. PUCCH, SRS and even PRACH.</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9D" w:rsidRPr="00797A8E" w14:paraId="42F8B75F" w14:textId="77777777" w:rsidTr="00BD0B56">
        <w:trPr>
          <w:trHeight w:val="4683"/>
        </w:trPr>
        <w:tc>
          <w:tcPr>
            <w:tcW w:w="9259" w:type="dxa"/>
          </w:tcPr>
          <w:p w14:paraId="4D950248" w14:textId="77777777" w:rsidR="00C2789D" w:rsidRPr="00075308" w:rsidRDefault="00C2789D" w:rsidP="00B72626">
            <w:pPr>
              <w:autoSpaceDE/>
              <w:autoSpaceDN/>
              <w:adjustRightInd/>
              <w:snapToGrid/>
              <w:spacing w:after="0"/>
              <w:ind w:left="1440" w:hanging="1440"/>
              <w:contextualSpacing/>
              <w:jc w:val="left"/>
              <w:rPr>
                <w:rFonts w:ascii="Times" w:eastAsia="Batang" w:hAnsi="Times"/>
                <w:b/>
                <w:sz w:val="20"/>
                <w:szCs w:val="24"/>
                <w:highlight w:val="green"/>
                <w:lang w:val="en-GB" w:eastAsia="x-none"/>
              </w:rPr>
            </w:pPr>
            <w:r w:rsidRPr="00075308">
              <w:rPr>
                <w:rFonts w:ascii="Times" w:eastAsia="Batang" w:hAnsi="Times"/>
                <w:b/>
                <w:sz w:val="20"/>
                <w:szCs w:val="24"/>
                <w:highlight w:val="green"/>
                <w:lang w:val="en-GB" w:eastAsia="x-none"/>
              </w:rPr>
              <w:t>Agreement</w:t>
            </w:r>
          </w:p>
          <w:p w14:paraId="6885664F" w14:textId="77777777" w:rsidR="00C2789D" w:rsidRPr="00075308" w:rsidRDefault="00C2789D" w:rsidP="00B72626">
            <w:pPr>
              <w:autoSpaceDE/>
              <w:autoSpaceDN/>
              <w:spacing w:after="0"/>
              <w:ind w:left="1440" w:hanging="1440"/>
              <w:contextualSpacing/>
              <w:jc w:val="left"/>
              <w:rPr>
                <w:rFonts w:eastAsia="Batang" w:hAnsi="Times"/>
                <w:sz w:val="20"/>
                <w:lang w:val="en-GB"/>
              </w:rPr>
            </w:pPr>
            <w:r w:rsidRPr="00075308">
              <w:rPr>
                <w:rFonts w:eastAsia="Batang" w:hAnsi="Times"/>
                <w:sz w:val="20"/>
                <w:lang w:val="en-GB"/>
              </w:rPr>
              <w:t>In Rel-16, only introduce specification enhancement for MPUE-Assumption3</w:t>
            </w:r>
          </w:p>
          <w:p w14:paraId="60B2E2F4"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MPUE-Assumption3: Multiple panels are implemented on a UE and multiple panels can be activated at a time but only one panel can be used for transmission.</w:t>
            </w:r>
          </w:p>
          <w:p w14:paraId="49B986F4"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Note that this does not require a UE to always activate multi-panels simultaneously</w:t>
            </w:r>
          </w:p>
          <w:p w14:paraId="6D7B1016"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Note: UE can control the panel activation/deactivation </w:t>
            </w:r>
          </w:p>
          <w:p w14:paraId="252506D8"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Possible u</w:t>
            </w:r>
            <w:r w:rsidRPr="00075308">
              <w:rPr>
                <w:rFonts w:eastAsia="Batang" w:hAnsi="Times" w:hint="eastAsia"/>
                <w:sz w:val="20"/>
                <w:lang w:val="en-GB"/>
              </w:rPr>
              <w:t>se cases</w:t>
            </w:r>
            <w:r w:rsidRPr="00075308">
              <w:rPr>
                <w:rFonts w:eastAsia="Batang" w:hAnsi="Times"/>
                <w:sz w:val="20"/>
                <w:lang w:val="en-GB"/>
              </w:rPr>
              <w:t xml:space="preserve"> at least include</w:t>
            </w:r>
          </w:p>
          <w:p w14:paraId="188440D9"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(General) </w:t>
            </w:r>
            <w:r w:rsidRPr="00075308">
              <w:rPr>
                <w:rFonts w:eastAsia="Batang" w:hAnsi="Times" w:hint="eastAsia"/>
                <w:sz w:val="20"/>
                <w:lang w:val="en-GB"/>
              </w:rPr>
              <w:t>U</w:t>
            </w:r>
            <w:r w:rsidRPr="00075308">
              <w:rPr>
                <w:rFonts w:eastAsia="Batang" w:hAnsi="Times"/>
                <w:sz w:val="20"/>
                <w:lang w:val="en-GB"/>
              </w:rPr>
              <w:t>L coverage enhancement for FR2</w:t>
            </w:r>
            <w:r w:rsidRPr="00075308">
              <w:rPr>
                <w:rFonts w:ascii="Times" w:eastAsia="Batang" w:hAnsi="Times"/>
                <w:sz w:val="20"/>
                <w:szCs w:val="24"/>
                <w:lang w:val="en-GB"/>
              </w:rPr>
              <w:t xml:space="preserve"> </w:t>
            </w:r>
            <w:r w:rsidRPr="00075308">
              <w:rPr>
                <w:rFonts w:eastAsia="Batang" w:hAnsi="Times"/>
                <w:sz w:val="20"/>
                <w:lang w:val="en-GB"/>
              </w:rPr>
              <w:t xml:space="preserve">considering the UE power consumption </w:t>
            </w:r>
          </w:p>
          <w:p w14:paraId="24B87709"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Discussion topics in Rel-16 include:</w:t>
            </w:r>
          </w:p>
          <w:p w14:paraId="53BB6292"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Details on the identification for a panel and corresponding panel definition</w:t>
            </w:r>
          </w:p>
          <w:p w14:paraId="56C14DC2"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Any enhancement introduced in Rel-16 should take further enhancement of simultaneous transmission across multiple panels for future releases into account. </w:t>
            </w:r>
          </w:p>
          <w:p w14:paraId="50D0F9B2" w14:textId="77777777" w:rsidR="00C2789D" w:rsidRPr="00075308" w:rsidRDefault="00C2789D" w:rsidP="00BD0B56">
            <w:pPr>
              <w:autoSpaceDE/>
              <w:autoSpaceDN/>
              <w:snapToGrid/>
              <w:ind w:left="1440" w:hanging="1440"/>
              <w:contextualSpacing/>
              <w:jc w:val="left"/>
              <w:rPr>
                <w:rFonts w:eastAsia="Batang" w:hAnsi="Times"/>
                <w:sz w:val="20"/>
                <w:lang w:val="en-GB"/>
              </w:rPr>
            </w:pPr>
            <w:r w:rsidRPr="00075308">
              <w:rPr>
                <w:rFonts w:eastAsia="Batang" w:hAnsi="Times"/>
                <w:sz w:val="20"/>
                <w:lang w:val="en-GB"/>
              </w:rPr>
              <w:t>This is a UE optional feature</w:t>
            </w:r>
          </w:p>
          <w:p w14:paraId="5A64E8BB" w14:textId="77777777" w:rsidR="00C2789D" w:rsidRPr="0000770C" w:rsidRDefault="00C2789D" w:rsidP="00B72626">
            <w:pPr>
              <w:pStyle w:val="LGTdoc"/>
              <w:spacing w:afterLines="0" w:line="240" w:lineRule="auto"/>
              <w:contextualSpacing/>
              <w:rPr>
                <w:sz w:val="20"/>
                <w:szCs w:val="22"/>
                <w:highlight w:val="darkYellow"/>
                <w:lang w:val="en-US"/>
              </w:rPr>
            </w:pPr>
            <w:r w:rsidRPr="0000770C">
              <w:rPr>
                <w:sz w:val="20"/>
                <w:szCs w:val="22"/>
                <w:highlight w:val="darkYellow"/>
                <w:lang w:val="en-US"/>
              </w:rPr>
              <w:t>Working Assumption</w:t>
            </w:r>
          </w:p>
          <w:p w14:paraId="6C413568" w14:textId="77777777" w:rsidR="00C2789D" w:rsidRPr="0000770C" w:rsidRDefault="00C2789D" w:rsidP="00B72626">
            <w:pPr>
              <w:pStyle w:val="LGTdoc"/>
              <w:spacing w:afterLines="0" w:line="240" w:lineRule="auto"/>
              <w:contextualSpacing/>
              <w:rPr>
                <w:sz w:val="20"/>
                <w:szCs w:val="22"/>
                <w:lang w:val="en-US"/>
              </w:rPr>
            </w:pPr>
            <w:r w:rsidRPr="0000770C">
              <w:rPr>
                <w:sz w:val="20"/>
                <w:szCs w:val="22"/>
                <w:lang w:val="en-US"/>
              </w:rPr>
              <w:t>T</w:t>
            </w:r>
            <w:r w:rsidRPr="0000770C">
              <w:rPr>
                <w:rFonts w:hint="eastAsia"/>
                <w:sz w:val="20"/>
                <w:szCs w:val="22"/>
                <w:lang w:val="en-US"/>
              </w:rPr>
              <w:t>he</w:t>
            </w:r>
            <w:r w:rsidRPr="0000770C">
              <w:rPr>
                <w:sz w:val="20"/>
                <w:szCs w:val="22"/>
                <w:lang w:val="en-US"/>
              </w:rPr>
              <w:t xml:space="preserve"> agreed</w:t>
            </w:r>
            <w:r w:rsidRPr="0000770C">
              <w:rPr>
                <w:rFonts w:hint="eastAsia"/>
                <w:sz w:val="20"/>
                <w:szCs w:val="22"/>
                <w:lang w:val="en-US"/>
              </w:rPr>
              <w:t xml:space="preserve"> ID </w:t>
            </w:r>
            <w:r w:rsidRPr="0000770C">
              <w:rPr>
                <w:sz w:val="20"/>
                <w:szCs w:val="22"/>
                <w:lang w:val="en-US"/>
              </w:rPr>
              <w:t xml:space="preserve">(not excluding to reuse existing ID) </w:t>
            </w:r>
            <w:r w:rsidRPr="0000770C">
              <w:rPr>
                <w:rFonts w:hint="eastAsia"/>
                <w:sz w:val="20"/>
                <w:szCs w:val="22"/>
                <w:lang w:val="en-US"/>
              </w:rPr>
              <w:t xml:space="preserve">for a panel can be </w:t>
            </w:r>
            <w:r w:rsidRPr="0000770C">
              <w:rPr>
                <w:sz w:val="20"/>
                <w:szCs w:val="22"/>
                <w:lang w:val="en-US"/>
              </w:rPr>
              <w:t>used for panel-selection-based transmission of PUSCH, PUCCH and SRS, among multiple activated panels.</w:t>
            </w:r>
          </w:p>
          <w:p w14:paraId="1CAAD111" w14:textId="77777777" w:rsidR="00C2789D" w:rsidRPr="0000770C" w:rsidRDefault="00C2789D" w:rsidP="00C2789D">
            <w:pPr>
              <w:pStyle w:val="LGTdoc"/>
              <w:numPr>
                <w:ilvl w:val="0"/>
                <w:numId w:val="12"/>
              </w:numPr>
              <w:spacing w:afterLines="0" w:line="240" w:lineRule="auto"/>
              <w:contextualSpacing/>
              <w:rPr>
                <w:sz w:val="20"/>
                <w:szCs w:val="22"/>
                <w:lang w:val="en-US"/>
              </w:rPr>
            </w:pPr>
            <w:r w:rsidRPr="0000770C">
              <w:rPr>
                <w:sz w:val="20"/>
                <w:szCs w:val="22"/>
                <w:lang w:val="en-US"/>
              </w:rPr>
              <w:t>FFS details, including an explicit/implicit indication of the panel, also considering beam correspondence at UE.</w:t>
            </w:r>
          </w:p>
          <w:p w14:paraId="60233D6F" w14:textId="77777777" w:rsidR="00C2789D" w:rsidRPr="0000770C" w:rsidRDefault="00C2789D" w:rsidP="00BD0B56">
            <w:pPr>
              <w:pStyle w:val="LGTdoc"/>
              <w:numPr>
                <w:ilvl w:val="0"/>
                <w:numId w:val="12"/>
              </w:numPr>
              <w:spacing w:afterLines="0" w:after="80" w:line="240" w:lineRule="auto"/>
              <w:ind w:left="714" w:hanging="357"/>
              <w:contextualSpacing/>
              <w:rPr>
                <w:sz w:val="20"/>
                <w:szCs w:val="22"/>
                <w:lang w:val="en-US"/>
              </w:rPr>
            </w:pPr>
            <w:r w:rsidRPr="0000770C">
              <w:rPr>
                <w:sz w:val="20"/>
                <w:szCs w:val="22"/>
                <w:lang w:val="en-US"/>
              </w:rPr>
              <w:t>FFS on whether the ID can be used for panel-specific PRACH transmission, if supported.</w:t>
            </w:r>
          </w:p>
        </w:tc>
      </w:tr>
    </w:tbl>
    <w:p w14:paraId="5A9F8E81" w14:textId="0A0ED72E" w:rsidR="00C2789D" w:rsidRDefault="00896BE9" w:rsidP="00C2789D">
      <w:pPr>
        <w:pStyle w:val="LGTdoc"/>
        <w:spacing w:before="80" w:afterLines="0" w:after="80" w:line="240" w:lineRule="auto"/>
        <w:contextualSpacing/>
        <w:rPr>
          <w:rFonts w:eastAsiaTheme="minorEastAsia"/>
          <w:kern w:val="0"/>
          <w:sz w:val="20"/>
          <w:szCs w:val="22"/>
          <w:lang w:val="en-US" w:eastAsia="zh-CN"/>
        </w:rPr>
      </w:pPr>
      <w:r>
        <w:rPr>
          <w:sz w:val="20"/>
          <w:lang w:eastAsia="zh-CN"/>
        </w:rPr>
        <w:t xml:space="preserve">From our understanding, it is natural to extend panel-specific beam selection from PUSCH to PUCCH/SRS/PRACH. Considering different beam indication mechanisms for PUSCH and PUCCH/SRS/etc, RAN1 needs to further look into the details of panel-specific beam selection for each channel/signal. For instance, in Rel.15, SRI in DCI (if present) indicates the Tx beam of PUSCH, but PUCCH and SRS rely on higher layer parameters </w:t>
      </w:r>
      <w:r>
        <w:rPr>
          <w:i/>
          <w:sz w:val="20"/>
          <w:lang w:eastAsia="zh-CN"/>
        </w:rPr>
        <w:t xml:space="preserve">PUCCH-SpatialRelationInfo </w:t>
      </w:r>
      <w:r>
        <w:rPr>
          <w:sz w:val="20"/>
          <w:lang w:eastAsia="zh-CN"/>
        </w:rPr>
        <w:t xml:space="preserve">and </w:t>
      </w:r>
      <w:r>
        <w:rPr>
          <w:i/>
          <w:sz w:val="20"/>
          <w:lang w:eastAsia="zh-CN"/>
        </w:rPr>
        <w:t>SRS-SpatialRelationInfo</w:t>
      </w:r>
      <w:r>
        <w:rPr>
          <w:sz w:val="20"/>
          <w:lang w:eastAsia="zh-CN"/>
        </w:rPr>
        <w:t>, respectively. Moreover, in RRC idle state, a UE transmits PRACH depending on the measurement of SSBs; in RRC connected state, the UE may transmit PRACH for different purposes, e.g. PCell BFR. During initial access procedure, it seems like the chance for NW to control UE’s panel is small. However, after RRC connection, the PRACH can be transmitted by UE in a panel-specific way.</w:t>
      </w:r>
    </w:p>
    <w:p w14:paraId="362AC048" w14:textId="7B1970A9" w:rsidR="00C2789D" w:rsidRPr="00556B33" w:rsidRDefault="00097E22" w:rsidP="00C2789D">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sz w:val="22"/>
          <w:szCs w:val="22"/>
        </w:rPr>
        <w:t xml:space="preserve">: </w:t>
      </w:r>
      <w:r w:rsidR="00C2789D" w:rsidRPr="00556B33">
        <w:rPr>
          <w:rFonts w:ascii="Times New Roman" w:hAnsi="Times New Roman" w:cs="Times New Roman"/>
          <w:b/>
          <w:sz w:val="22"/>
          <w:szCs w:val="22"/>
        </w:rPr>
        <w:t>Confirm the working assumption on explicit panel-specific indication on PUSCH/PUCCH/SRS and include PRACH with conditions FFS.</w:t>
      </w:r>
    </w:p>
    <w:p w14:paraId="3985BED6" w14:textId="39FE8369" w:rsidR="001F4FA7" w:rsidRPr="00C925AA" w:rsidRDefault="00ED3D94" w:rsidP="00C925AA">
      <w:pPr>
        <w:pStyle w:val="Heading1"/>
        <w:rPr>
          <w:sz w:val="24"/>
          <w:lang w:eastAsia="ja-JP"/>
        </w:rPr>
      </w:pPr>
      <w:r w:rsidRPr="00C925AA">
        <w:rPr>
          <w:sz w:val="24"/>
          <w:lang w:eastAsia="ja-JP"/>
        </w:rPr>
        <w:t>Uplink coverage issue due to MPE</w:t>
      </w:r>
    </w:p>
    <w:p w14:paraId="3155F835" w14:textId="0F019A5B" w:rsidR="009A29F0" w:rsidRDefault="00291480" w:rsidP="00291480">
      <w:pPr>
        <w:autoSpaceDE/>
        <w:adjustRightInd/>
        <w:snapToGrid/>
        <w:spacing w:before="80"/>
        <w:rPr>
          <w:rFonts w:eastAsia="MS Gothic"/>
          <w:sz w:val="20"/>
          <w:szCs w:val="20"/>
          <w:lang w:eastAsia="ja-JP"/>
        </w:rPr>
      </w:pPr>
      <w:r>
        <w:rPr>
          <w:rFonts w:eastAsia="MS Gothic"/>
          <w:sz w:val="20"/>
          <w:szCs w:val="20"/>
          <w:lang w:eastAsia="ja-JP"/>
        </w:rPr>
        <w:t xml:space="preserve">In Rel.16, RAN1 received an LS from RAN4 to handle the MPE issue so as to comply with regulatory RF exposure limits. In RAN4, two approaches to handle the MPE issue have been agreed upon. One is directly based on backing off from the configured maximum transmit power by a quantity P-MPR. The other one is to honor the </w:t>
      </w:r>
      <w:r>
        <w:rPr>
          <w:rFonts w:eastAsia="MS Gothic"/>
          <w:i/>
          <w:sz w:val="20"/>
          <w:szCs w:val="20"/>
          <w:lang w:eastAsia="ja-JP"/>
        </w:rPr>
        <w:t>maxUplinkDutyCycle</w:t>
      </w:r>
      <w:r>
        <w:rPr>
          <w:rFonts w:eastAsia="MS Gothic"/>
          <w:sz w:val="20"/>
          <w:szCs w:val="20"/>
          <w:lang w:eastAsia="ja-JP"/>
        </w:rPr>
        <w:t xml:space="preserve"> reported in the signaling of UE capabilities. </w:t>
      </w:r>
      <w:r w:rsidR="00806AF6">
        <w:rPr>
          <w:rFonts w:eastAsia="MS Gothic"/>
          <w:sz w:val="20"/>
          <w:szCs w:val="20"/>
          <w:lang w:eastAsia="ja-JP"/>
        </w:rPr>
        <w:t xml:space="preserve"> </w:t>
      </w:r>
    </w:p>
    <w:p w14:paraId="32362D06" w14:textId="77777777" w:rsidR="00AA18F6" w:rsidRDefault="00AA18F6" w:rsidP="00AA18F6">
      <w:pPr>
        <w:autoSpaceDE/>
        <w:adjustRightInd/>
        <w:snapToGrid/>
        <w:spacing w:before="80"/>
        <w:rPr>
          <w:rFonts w:eastAsia="MS Gothic"/>
          <w:sz w:val="20"/>
          <w:szCs w:val="20"/>
          <w:lang w:eastAsia="ja-JP"/>
        </w:rPr>
      </w:pPr>
      <w:r>
        <w:rPr>
          <w:rFonts w:eastAsia="MS Gothic"/>
          <w:sz w:val="20"/>
          <w:szCs w:val="20"/>
          <w:lang w:eastAsia="ja-JP"/>
        </w:rPr>
        <w:t>Though aforementioned RAN4 solutions can address the MPE issue, they may trigger an UL coverage issue at FR2, at least for some of the beams. For instance, when an UL power back off is applied by the UE when transmitting UL channels/signals, the UE may lower its maximum power by, e.g. 10dB to satisfy RF exposure limits. This can possibly result in dissatisfactory measurements of an UL Tx beam at gNB side, though the corresponding DL beam selection may still function well. Hence, we would like to present our view</w:t>
      </w:r>
    </w:p>
    <w:p w14:paraId="4A8CBA53" w14:textId="511F20B2" w:rsidR="00806AF6" w:rsidRDefault="0012208D" w:rsidP="00275247">
      <w:pPr>
        <w:autoSpaceDE/>
        <w:autoSpaceDN/>
        <w:adjustRightInd/>
        <w:snapToGrid/>
        <w:spacing w:before="80"/>
        <w:rPr>
          <w:rFonts w:eastAsia="MS Gothic"/>
          <w:sz w:val="20"/>
          <w:szCs w:val="20"/>
          <w:lang w:eastAsia="ja-JP"/>
        </w:rPr>
      </w:pPr>
      <w:r>
        <w:rPr>
          <w:rFonts w:eastAsia="MS Gothic"/>
          <w:sz w:val="20"/>
          <w:szCs w:val="20"/>
          <w:lang w:eastAsia="ja-JP"/>
        </w:rPr>
        <w:t xml:space="preserve"> </w:t>
      </w:r>
    </w:p>
    <w:p w14:paraId="20C645F6" w14:textId="2535F32A" w:rsidR="0012208D" w:rsidRDefault="00097E22" w:rsidP="008D0FC7">
      <w:pPr>
        <w:pStyle w:val="ListParagraph"/>
        <w:numPr>
          <w:ilvl w:val="0"/>
          <w:numId w:val="15"/>
        </w:numPr>
        <w:spacing w:after="120"/>
        <w:ind w:left="0" w:firstLine="0"/>
        <w:rPr>
          <w:rFonts w:ascii="Times New Roman" w:hAnsi="Times New Roman" w:cs="Times New Roman"/>
          <w:b/>
          <w:sz w:val="22"/>
        </w:rPr>
      </w:pPr>
      <w:r>
        <w:rPr>
          <w:rFonts w:ascii="Times New Roman" w:hAnsi="Times New Roman" w:cs="Times New Roman"/>
          <w:b/>
          <w:sz w:val="22"/>
        </w:rPr>
        <w:lastRenderedPageBreak/>
        <w:t>:</w:t>
      </w:r>
      <w:r w:rsidR="0012208D">
        <w:rPr>
          <w:rFonts w:ascii="Times New Roman" w:hAnsi="Times New Roman" w:cs="Times New Roman"/>
          <w:b/>
          <w:sz w:val="22"/>
        </w:rPr>
        <w:t xml:space="preserve"> </w:t>
      </w:r>
      <w:r w:rsidR="00D97899">
        <w:rPr>
          <w:rFonts w:ascii="Times New Roman" w:hAnsi="Times New Roman" w:cs="Times New Roman"/>
          <w:b/>
          <w:sz w:val="22"/>
        </w:rPr>
        <w:t xml:space="preserve">Due to the impact </w:t>
      </w:r>
      <w:r w:rsidR="008D0FC7">
        <w:rPr>
          <w:rFonts w:ascii="Times New Roman" w:hAnsi="Times New Roman" w:cs="Times New Roman"/>
          <w:b/>
          <w:sz w:val="22"/>
        </w:rPr>
        <w:t xml:space="preserve">of power back off on UL Tx beam(s), Rel.15/16 UL beam management mechanism may yield suboptimal Tx beam selection </w:t>
      </w:r>
      <w:r w:rsidR="00AA18F6">
        <w:rPr>
          <w:rFonts w:ascii="Times New Roman" w:hAnsi="Times New Roman" w:cs="Times New Roman"/>
          <w:b/>
          <w:sz w:val="22"/>
        </w:rPr>
        <w:t>from</w:t>
      </w:r>
      <w:r w:rsidR="008D0FC7">
        <w:rPr>
          <w:rFonts w:ascii="Times New Roman" w:hAnsi="Times New Roman" w:cs="Times New Roman"/>
          <w:b/>
          <w:sz w:val="22"/>
        </w:rPr>
        <w:t xml:space="preserve"> UL coverage perspective.</w:t>
      </w:r>
    </w:p>
    <w:p w14:paraId="32CC8315" w14:textId="1C73D54B" w:rsidR="008D0FC7" w:rsidRDefault="00BB7DDF" w:rsidP="008D0FC7">
      <w:pPr>
        <w:rPr>
          <w:sz w:val="20"/>
        </w:rPr>
      </w:pPr>
      <w:r>
        <w:rPr>
          <w:sz w:val="20"/>
        </w:rPr>
        <w:t>In RAN1#97, one agreement was achieved to enhance beam management when taking MPE issue into account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BB7DDF" w:rsidRPr="00797A8E" w14:paraId="1D81F597" w14:textId="77777777" w:rsidTr="0041278E">
        <w:trPr>
          <w:trHeight w:val="689"/>
        </w:trPr>
        <w:tc>
          <w:tcPr>
            <w:tcW w:w="9259" w:type="dxa"/>
          </w:tcPr>
          <w:p w14:paraId="3A80037F" w14:textId="77777777" w:rsidR="00BB7DDF" w:rsidRPr="00BB7DDF" w:rsidRDefault="00BB7DDF" w:rsidP="00BB7DDF">
            <w:pPr>
              <w:autoSpaceDE/>
              <w:autoSpaceDN/>
              <w:adjustRightInd/>
              <w:snapToGrid/>
              <w:spacing w:after="0"/>
              <w:jc w:val="left"/>
              <w:textAlignment w:val="center"/>
              <w:rPr>
                <w:rFonts w:ascii="等线" w:eastAsia="等线" w:hAnsi="等线"/>
                <w:sz w:val="20"/>
                <w:szCs w:val="20"/>
                <w:lang w:eastAsia="zh-CN"/>
              </w:rPr>
            </w:pPr>
            <w:r w:rsidRPr="00BB7DDF">
              <w:rPr>
                <w:rFonts w:eastAsia="等线"/>
                <w:b/>
                <w:bCs/>
                <w:sz w:val="20"/>
                <w:szCs w:val="20"/>
                <w:highlight w:val="green"/>
                <w:lang w:eastAsia="zh-CN"/>
              </w:rPr>
              <w:t>Agreement</w:t>
            </w:r>
          </w:p>
          <w:p w14:paraId="5C12F3F4" w14:textId="77777777" w:rsidR="00BB7DDF" w:rsidRPr="00BB7DDF" w:rsidRDefault="00BB7DDF" w:rsidP="00BB7DDF">
            <w:pPr>
              <w:numPr>
                <w:ilvl w:val="0"/>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Down-select in RAN1#98 from the following options for beam management enhancements:</w:t>
            </w:r>
          </w:p>
          <w:p w14:paraId="5E25C928" w14:textId="77777777" w:rsidR="00BB7DDF" w:rsidRPr="00BB7DDF" w:rsidRDefault="00BB7DDF" w:rsidP="00BB7DDF">
            <w:pPr>
              <w:numPr>
                <w:ilvl w:val="1"/>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Alt1. Support UE to report CRI/SSBRI where the CRI/SSBRI refers to a preferred spatial relation RS for UL transmission</w:t>
            </w:r>
          </w:p>
          <w:p w14:paraId="6AA2E47C" w14:textId="77777777" w:rsidR="00BB7DDF" w:rsidRPr="00BB7DDF" w:rsidRDefault="00BB7DDF" w:rsidP="00BB7DDF">
            <w:pPr>
              <w:numPr>
                <w:ilvl w:val="2"/>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FFS: Whether to support SRI in addition to CRI/SSBRI</w:t>
            </w:r>
          </w:p>
          <w:p w14:paraId="06246AE7" w14:textId="77777777" w:rsidR="00BB7DDF" w:rsidRPr="00BB7DDF" w:rsidRDefault="00BB7DDF" w:rsidP="00BB7DDF">
            <w:pPr>
              <w:numPr>
                <w:ilvl w:val="2"/>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FFS on details of the reporting configuration (e.g. separate or joint reporting with existing DL beam reporting, introduction of new information from UE such as MPR)</w:t>
            </w:r>
          </w:p>
          <w:p w14:paraId="3E25CB14" w14:textId="77777777" w:rsidR="00BB7DDF" w:rsidRPr="00BB7DDF" w:rsidRDefault="00BB7DDF" w:rsidP="00BB7DDF">
            <w:pPr>
              <w:numPr>
                <w:ilvl w:val="1"/>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Alt2. Support SRI field in the DCI can be used to indicate multiple SRS resources and UE’s autonomous selection of one SRS resource for PUSCH beam determination out of the multiple</w:t>
            </w:r>
          </w:p>
          <w:p w14:paraId="4AEC89B8" w14:textId="77777777" w:rsidR="00BB7DDF" w:rsidRPr="00BB7DDF" w:rsidRDefault="00BB7DDF" w:rsidP="00BB7DDF">
            <w:pPr>
              <w:numPr>
                <w:ilvl w:val="1"/>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Alt3: Reuse Rel-15 beam specific PHR reporting to determine beam-specific MPE impact transparently, i.e., by difference value between Pc,max (which is calculated based on P-MPR) and the required transmission power.</w:t>
            </w:r>
          </w:p>
          <w:p w14:paraId="6F6C2E4F" w14:textId="77777777" w:rsidR="00BB7DDF" w:rsidRPr="00BB7DDF" w:rsidRDefault="00BB7DDF" w:rsidP="00BB7DDF">
            <w:pPr>
              <w:numPr>
                <w:ilvl w:val="2"/>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 xml:space="preserve">FFS: Enhancement on UL beam configuration for virtual PHR. </w:t>
            </w:r>
          </w:p>
          <w:p w14:paraId="24397E11" w14:textId="77777777" w:rsidR="00BB7DDF" w:rsidRPr="00BB7DDF" w:rsidRDefault="00BB7DDF" w:rsidP="00BB7DDF">
            <w:pPr>
              <w:numPr>
                <w:ilvl w:val="1"/>
                <w:numId w:val="12"/>
              </w:numPr>
              <w:autoSpaceDE/>
              <w:autoSpaceDN/>
              <w:adjustRightInd/>
              <w:snapToGrid/>
              <w:spacing w:after="0"/>
              <w:jc w:val="left"/>
              <w:textAlignment w:val="center"/>
              <w:rPr>
                <w:rFonts w:ascii="等线" w:eastAsia="等线" w:hAnsi="等线"/>
                <w:sz w:val="20"/>
                <w:szCs w:val="20"/>
                <w:lang w:eastAsia="zh-CN"/>
              </w:rPr>
            </w:pPr>
            <w:r w:rsidRPr="00BB7DDF">
              <w:rPr>
                <w:rFonts w:eastAsia="等线"/>
                <w:sz w:val="20"/>
                <w:szCs w:val="20"/>
                <w:lang w:eastAsia="zh-CN"/>
              </w:rPr>
              <w:t>Alt4: No enhancements considering MPE issues in Rel-16 RAN1 specifications. It is up to UE implementation in conjunction to RAN4 specification support.</w:t>
            </w:r>
          </w:p>
          <w:p w14:paraId="3FA44F46" w14:textId="0CF5A085" w:rsidR="00BB7DDF" w:rsidRPr="00BB7DDF" w:rsidRDefault="00BB7DDF" w:rsidP="00BB7DDF">
            <w:pPr>
              <w:numPr>
                <w:ilvl w:val="0"/>
                <w:numId w:val="12"/>
              </w:numPr>
              <w:autoSpaceDE/>
              <w:autoSpaceDN/>
              <w:adjustRightInd/>
              <w:snapToGrid/>
              <w:spacing w:after="80"/>
              <w:ind w:left="714" w:hanging="357"/>
              <w:jc w:val="left"/>
              <w:textAlignment w:val="center"/>
              <w:rPr>
                <w:rFonts w:ascii="等线" w:eastAsia="等线" w:hAnsi="等线"/>
                <w:sz w:val="20"/>
                <w:szCs w:val="20"/>
                <w:lang w:val="en-GB" w:eastAsia="zh-CN"/>
              </w:rPr>
            </w:pPr>
            <w:r w:rsidRPr="00BB7DDF">
              <w:rPr>
                <w:rFonts w:eastAsia="等线"/>
                <w:sz w:val="20"/>
                <w:szCs w:val="20"/>
                <w:lang w:val="en-GB" w:eastAsia="zh-CN"/>
              </w:rPr>
              <w:t>If no consensus in RAN1#98, no further discussion in RAN1.</w:t>
            </w:r>
          </w:p>
        </w:tc>
      </w:tr>
    </w:tbl>
    <w:p w14:paraId="2912A068" w14:textId="6679C1F0" w:rsidR="00DF2D6F" w:rsidRPr="00DF2D6F" w:rsidRDefault="00DF2D6F" w:rsidP="00DF2D6F">
      <w:pPr>
        <w:pStyle w:val="Heading2"/>
        <w:rPr>
          <w:sz w:val="22"/>
          <w:lang w:eastAsia="ja-JP"/>
        </w:rPr>
      </w:pPr>
      <w:r>
        <w:rPr>
          <w:sz w:val="22"/>
          <w:lang w:eastAsia="ja-JP"/>
        </w:rPr>
        <w:t>MPE-aware beam reporting</w:t>
      </w:r>
    </w:p>
    <w:p w14:paraId="22CA5625" w14:textId="3C8AE5CA" w:rsidR="00BB7DDF" w:rsidRDefault="00E25FB8" w:rsidP="00424AA1">
      <w:pPr>
        <w:spacing w:before="80"/>
        <w:rPr>
          <w:sz w:val="18"/>
        </w:rPr>
      </w:pPr>
      <w:r>
        <w:rPr>
          <w:sz w:val="20"/>
        </w:rPr>
        <w:t xml:space="preserve">Due to lack of consensus in RAN1#98, the discussion on MPE was prematurely concluded. In Rel.17, these alternatives (not limited necessarily to the above agreement) can be further discussed. Specifically, for UEs supporting </w:t>
      </w:r>
      <w:r>
        <w:rPr>
          <w:i/>
          <w:sz w:val="20"/>
        </w:rPr>
        <w:t>beamCorrespondenceWithoutUL-BeamSweeping</w:t>
      </w:r>
      <w:r>
        <w:rPr>
          <w:sz w:val="18"/>
        </w:rPr>
        <w:t xml:space="preserve">, </w:t>
      </w:r>
      <w:r>
        <w:rPr>
          <w:sz w:val="20"/>
          <w:szCs w:val="24"/>
        </w:rPr>
        <w:t>the UL beam selection is established on DL beam sweeping and UE rep</w:t>
      </w:r>
      <w:r w:rsidR="00FB305A">
        <w:rPr>
          <w:sz w:val="20"/>
          <w:szCs w:val="24"/>
        </w:rPr>
        <w:t>orting. However, the power back-</w:t>
      </w:r>
      <w:r>
        <w:rPr>
          <w:sz w:val="20"/>
          <w:szCs w:val="24"/>
        </w:rPr>
        <w:t>off impact was not taken into account in the current beam reporting mechanism. Hence, we have following</w:t>
      </w:r>
    </w:p>
    <w:p w14:paraId="716F9FDC" w14:textId="77777777" w:rsidR="00BD5740" w:rsidRPr="00BD5740" w:rsidRDefault="00097E22" w:rsidP="00BD5740">
      <w:pPr>
        <w:pStyle w:val="ListParagraph"/>
        <w:numPr>
          <w:ilvl w:val="0"/>
          <w:numId w:val="6"/>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w:t>
      </w:r>
      <w:r w:rsidR="00222D69">
        <w:rPr>
          <w:rFonts w:ascii="Times New Roman" w:hAnsi="Times New Roman" w:cs="Times New Roman"/>
          <w:b/>
          <w:color w:val="000000" w:themeColor="text1"/>
          <w:sz w:val="22"/>
          <w:szCs w:val="20"/>
        </w:rPr>
        <w:t xml:space="preserve"> </w:t>
      </w:r>
      <w:r w:rsidR="00BD5740" w:rsidRPr="00BD5740">
        <w:rPr>
          <w:rFonts w:ascii="Times New Roman" w:hAnsi="Times New Roman" w:cs="Times New Roman"/>
          <w:b/>
          <w:color w:val="000000" w:themeColor="text1"/>
          <w:sz w:val="22"/>
          <w:szCs w:val="20"/>
        </w:rPr>
        <w:t>For UE supporting beam correspondence without UL beam sweeping, RAN1 should study and, if necessary, specify MPE-aware beam reporting.</w:t>
      </w:r>
    </w:p>
    <w:p w14:paraId="5B0A4321" w14:textId="78686D32" w:rsidR="00BD5740" w:rsidRDefault="00BD5740" w:rsidP="00BD5740">
      <w:pPr>
        <w:spacing w:before="80"/>
        <w:rPr>
          <w:sz w:val="20"/>
        </w:rPr>
      </w:pPr>
      <w:r>
        <w:rPr>
          <w:sz w:val="20"/>
        </w:rPr>
        <w:t xml:space="preserve">For UEs supporting beam correspondence with UL beam sweeping, the SRS based beam sweeping is necessary. When a UE carries out this UL beam sweeping procedure, the UE may apply the power back off on a per Tx beam basis. More specifically, different SRS resources within the SRS resource set with </w:t>
      </w:r>
      <w:r>
        <w:rPr>
          <w:i/>
          <w:iCs/>
          <w:sz w:val="20"/>
        </w:rPr>
        <w:t>usage</w:t>
      </w:r>
      <w:r>
        <w:rPr>
          <w:sz w:val="20"/>
        </w:rPr>
        <w:t xml:space="preserve"> set to ‘beam management’ may have different P-MPR values. SRS resources with their Tx beams experiencing the MPE issue should apply a large</w:t>
      </w:r>
      <w:r w:rsidR="007D30F4">
        <w:rPr>
          <w:sz w:val="20"/>
        </w:rPr>
        <w:t>r</w:t>
      </w:r>
      <w:r>
        <w:rPr>
          <w:sz w:val="20"/>
        </w:rPr>
        <w:t xml:space="preserve"> power back off</w:t>
      </w:r>
      <w:r w:rsidR="007D30F4">
        <w:rPr>
          <w:sz w:val="20"/>
        </w:rPr>
        <w:t xml:space="preserve"> value</w:t>
      </w:r>
      <w:r>
        <w:rPr>
          <w:sz w:val="20"/>
        </w:rPr>
        <w:t>, e.g. 10dB, when compared to other SRS resources not experiencing this issue. Therefore,</w:t>
      </w:r>
      <w:r w:rsidR="0045378A">
        <w:rPr>
          <w:sz w:val="20"/>
        </w:rPr>
        <w:t xml:space="preserve"> to enable fair SRS resource selection</w:t>
      </w:r>
      <w:r w:rsidR="004856D5">
        <w:rPr>
          <w:sz w:val="20"/>
        </w:rPr>
        <w:t xml:space="preserve"> among SRS resources with different P-MPR values</w:t>
      </w:r>
      <w:r w:rsidR="0045378A">
        <w:rPr>
          <w:sz w:val="20"/>
        </w:rPr>
        <w:t>,</w:t>
      </w:r>
      <w:r>
        <w:rPr>
          <w:sz w:val="20"/>
        </w:rPr>
        <w:t xml:space="preserve"> </w:t>
      </w:r>
      <w:r w:rsidR="004856D5">
        <w:rPr>
          <w:sz w:val="20"/>
        </w:rPr>
        <w:t xml:space="preserve">UEs </w:t>
      </w:r>
      <w:r w:rsidR="0045378A">
        <w:rPr>
          <w:sz w:val="20"/>
        </w:rPr>
        <w:t xml:space="preserve">should </w:t>
      </w:r>
      <w:r w:rsidR="004856D5">
        <w:rPr>
          <w:sz w:val="20"/>
        </w:rPr>
        <w:t xml:space="preserve">provide </w:t>
      </w:r>
      <w:r w:rsidR="00FB305A">
        <w:rPr>
          <w:sz w:val="20"/>
        </w:rPr>
        <w:t>power back</w:t>
      </w:r>
      <w:r w:rsidR="004856D5">
        <w:rPr>
          <w:sz w:val="20"/>
        </w:rPr>
        <w:t xml:space="preserve"> values per SRS resource</w:t>
      </w:r>
      <w:r w:rsidR="00FB305A">
        <w:rPr>
          <w:sz w:val="20"/>
        </w:rPr>
        <w:t xml:space="preserve"> (UL Tx beam) to NW</w:t>
      </w:r>
      <w:r>
        <w:rPr>
          <w:sz w:val="20"/>
        </w:rPr>
        <w:t>. Hence we have</w:t>
      </w:r>
    </w:p>
    <w:p w14:paraId="71DD97A0" w14:textId="45C9A115" w:rsidR="0013417D" w:rsidRPr="00DF2D6F" w:rsidRDefault="00097E22" w:rsidP="0013417D">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color w:val="000000" w:themeColor="text1"/>
          <w:sz w:val="22"/>
          <w:szCs w:val="20"/>
        </w:rPr>
        <w:t>:</w:t>
      </w:r>
      <w:r w:rsidR="00222D69">
        <w:rPr>
          <w:rFonts w:ascii="Times New Roman" w:hAnsi="Times New Roman" w:cs="Times New Roman"/>
          <w:b/>
          <w:color w:val="000000" w:themeColor="text1"/>
          <w:sz w:val="22"/>
          <w:szCs w:val="20"/>
        </w:rPr>
        <w:t xml:space="preserve"> </w:t>
      </w:r>
      <w:r w:rsidR="0013417D">
        <w:rPr>
          <w:rFonts w:ascii="Times New Roman" w:hAnsi="Times New Roman" w:cs="Times New Roman"/>
          <w:b/>
          <w:color w:val="000000" w:themeColor="text1"/>
          <w:sz w:val="22"/>
          <w:szCs w:val="20"/>
        </w:rPr>
        <w:t>For UE supporting beam correspondence with the aid of UL beam sweeping, RAN1 specifies UE behavior on MPE-aware UL beam sweeping</w:t>
      </w:r>
      <w:r w:rsidR="0013417D" w:rsidRPr="00556B33">
        <w:rPr>
          <w:rFonts w:ascii="Times New Roman" w:hAnsi="Times New Roman" w:cs="Times New Roman"/>
          <w:b/>
          <w:color w:val="000000" w:themeColor="text1"/>
          <w:sz w:val="22"/>
          <w:szCs w:val="20"/>
        </w:rPr>
        <w:t>.</w:t>
      </w:r>
    </w:p>
    <w:p w14:paraId="6AC1C90B" w14:textId="50FF83EC" w:rsidR="00DF2D6F" w:rsidRPr="00DF2D6F" w:rsidRDefault="00DF2D6F" w:rsidP="00DF2D6F">
      <w:pPr>
        <w:pStyle w:val="Heading2"/>
        <w:rPr>
          <w:sz w:val="22"/>
          <w:lang w:eastAsia="ja-JP"/>
        </w:rPr>
      </w:pPr>
      <w:r>
        <w:rPr>
          <w:sz w:val="22"/>
          <w:lang w:eastAsia="ja-JP"/>
        </w:rPr>
        <w:t>Beam</w:t>
      </w:r>
      <w:r w:rsidR="00DE6402">
        <w:rPr>
          <w:sz w:val="22"/>
          <w:lang w:eastAsia="ja-JP"/>
        </w:rPr>
        <w:t>/panel</w:t>
      </w:r>
      <w:r>
        <w:rPr>
          <w:sz w:val="22"/>
          <w:lang w:eastAsia="ja-JP"/>
        </w:rPr>
        <w:t>-specific P-MPR reporting</w:t>
      </w:r>
    </w:p>
    <w:p w14:paraId="030AD41F" w14:textId="06E66B78" w:rsidR="00855514" w:rsidRDefault="00855514" w:rsidP="00D93B95">
      <w:pPr>
        <w:pStyle w:val="BodyText"/>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 xml:space="preserve">off (P-MPR) can be used by UEs to meet the MPE limitation defined in the Rel-15 RAN4 specification. However, since the P-MPR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6" w:name="_Hlk8895418"/>
      <w:r>
        <w:t>.</w:t>
      </w:r>
      <w:bookmarkEnd w:id="6"/>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t>[2]</w:t>
      </w:r>
      <w:r>
        <w:fldChar w:fldCharType="end"/>
      </w:r>
      <w:r>
        <w:t xml:space="preserve">. </w:t>
      </w:r>
    </w:p>
    <w:p w14:paraId="11515839" w14:textId="07DB8A9B" w:rsidR="00855514" w:rsidRDefault="00855514" w:rsidP="00C355F1">
      <w:pPr>
        <w:autoSpaceDE/>
        <w:adjustRightInd/>
        <w:snapToGrid/>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the RAN1 aspect, it can further associate the P-MPR value with spatial relation, e.g., reporting P-MPR of multiple candidate UL beams, so that the gNB can select the optimal beam pair for the uplink transmission. </w:t>
      </w:r>
    </w:p>
    <w:p w14:paraId="78B240D2" w14:textId="6335726D" w:rsidR="00855514" w:rsidRPr="00D93B95" w:rsidRDefault="00097E22" w:rsidP="00D93B95">
      <w:pPr>
        <w:pStyle w:val="ListParagraph"/>
        <w:numPr>
          <w:ilvl w:val="0"/>
          <w:numId w:val="19"/>
        </w:numPr>
        <w:spacing w:after="120"/>
        <w:rPr>
          <w:rFonts w:ascii="Times New Roman" w:hAnsi="Times New Roman" w:cs="Times New Roman"/>
          <w:sz w:val="22"/>
          <w:szCs w:val="20"/>
        </w:rPr>
      </w:pPr>
      <w:bookmarkStart w:id="7" w:name="_Ref31781978"/>
      <w:r>
        <w:rPr>
          <w:rFonts w:ascii="Times New Roman" w:eastAsia="MS Gothic" w:hAnsi="Times New Roman" w:cs="Times New Roman"/>
          <w:b/>
          <w:bCs/>
          <w:sz w:val="22"/>
          <w:szCs w:val="20"/>
          <w:lang w:eastAsia="ja-JP"/>
        </w:rPr>
        <w:t>:</w:t>
      </w:r>
      <w:r w:rsidR="00D93B95" w:rsidRPr="00D93B95">
        <w:rPr>
          <w:rFonts w:ascii="Times New Roman" w:eastAsia="MS Gothic" w:hAnsi="Times New Roman" w:cs="Times New Roman"/>
          <w:b/>
          <w:bCs/>
          <w:sz w:val="22"/>
          <w:szCs w:val="20"/>
          <w:lang w:eastAsia="ja-JP"/>
        </w:rPr>
        <w:t xml:space="preserve"> </w:t>
      </w:r>
      <w:r w:rsidR="00855514" w:rsidRPr="00D93B95">
        <w:rPr>
          <w:rFonts w:ascii="Times New Roman" w:eastAsia="MS Gothic" w:hAnsi="Times New Roman" w:cs="Times New Roman"/>
          <w:b/>
          <w:bCs/>
          <w:sz w:val="22"/>
          <w:szCs w:val="20"/>
          <w:lang w:eastAsia="ja-JP"/>
        </w:rPr>
        <w:t>Associate the P-MPR values with the spatial relation for UL transmission to mitigate the coverage loss due to the MPE.</w:t>
      </w:r>
      <w:bookmarkEnd w:id="7"/>
      <w:r w:rsidR="00855514" w:rsidRPr="00D93B95">
        <w:rPr>
          <w:rFonts w:ascii="Times New Roman" w:eastAsia="MS Gothic" w:hAnsi="Times New Roman" w:cs="Times New Roman"/>
          <w:b/>
          <w:bCs/>
          <w:sz w:val="22"/>
          <w:szCs w:val="20"/>
          <w:lang w:eastAsia="ja-JP"/>
        </w:rPr>
        <w:t xml:space="preserve"> </w:t>
      </w:r>
    </w:p>
    <w:p w14:paraId="696DA861" w14:textId="77777777" w:rsidR="00855514" w:rsidRDefault="00855514" w:rsidP="00C355F1">
      <w:pPr>
        <w:autoSpaceDE/>
        <w:adjustRightInd/>
        <w:snapToGrid/>
        <w:spacing w:before="80"/>
        <w:rPr>
          <w:sz w:val="20"/>
          <w:szCs w:val="20"/>
          <w:lang w:val="en-GB"/>
        </w:rPr>
      </w:pPr>
      <w:r>
        <w:rPr>
          <w:sz w:val="20"/>
          <w:szCs w:val="20"/>
          <w:lang w:val="en-GB"/>
        </w:rPr>
        <w:t xml:space="preserve">Some possible ways to implement the above proposals have been discussed in RAN1 during Rel-16. However, to our understanding, no consensus was reached due to the limited time of the discussions. We believe those methods are still valid and need to be further discussed in Rel-17 to support further agreements reached in RAN4. </w:t>
      </w:r>
    </w:p>
    <w:p w14:paraId="2EE18740" w14:textId="5EC21B25" w:rsidR="00855514" w:rsidRDefault="00855514" w:rsidP="00C355F1">
      <w:pPr>
        <w:autoSpaceDE/>
        <w:adjustRightInd/>
        <w:snapToGrid/>
        <w:spacing w:before="80"/>
        <w:rPr>
          <w:sz w:val="20"/>
          <w:szCs w:val="20"/>
          <w:lang w:val="en-GB"/>
        </w:rPr>
      </w:pPr>
      <w:r>
        <w:rPr>
          <w:sz w:val="20"/>
          <w:szCs w:val="20"/>
          <w:lang w:val="en-GB"/>
        </w:rPr>
        <w:lastRenderedPageBreak/>
        <w:t xml:space="preserve">We reiterate one possible solution here which addresses </w:t>
      </w:r>
      <w:r w:rsidRPr="00EF0266">
        <w:rPr>
          <w:sz w:val="20"/>
          <w:szCs w:val="20"/>
          <w:lang w:val="en-GB"/>
        </w:rPr>
        <w:t xml:space="preserve">our </w:t>
      </w:r>
      <w:r w:rsidRPr="00EF0266">
        <w:rPr>
          <w:sz w:val="20"/>
          <w:szCs w:val="20"/>
          <w:lang w:val="en-GB"/>
        </w:rPr>
        <w:fldChar w:fldCharType="begin"/>
      </w:r>
      <w:r w:rsidRPr="00EF0266">
        <w:rPr>
          <w:sz w:val="20"/>
          <w:szCs w:val="20"/>
          <w:lang w:val="en-GB"/>
        </w:rPr>
        <w:instrText xml:space="preserve"> REF _Ref31781978 \r \h  \* MERGEFORMAT </w:instrText>
      </w:r>
      <w:r w:rsidRPr="00EF0266">
        <w:rPr>
          <w:sz w:val="20"/>
          <w:szCs w:val="20"/>
          <w:lang w:val="en-GB"/>
        </w:rPr>
      </w:r>
      <w:r w:rsidRPr="00EF0266">
        <w:rPr>
          <w:sz w:val="20"/>
          <w:szCs w:val="20"/>
          <w:lang w:val="en-GB"/>
        </w:rPr>
        <w:fldChar w:fldCharType="separate"/>
      </w:r>
      <w:r w:rsidR="00EF0266" w:rsidRPr="00EF0266">
        <w:rPr>
          <w:sz w:val="20"/>
          <w:szCs w:val="20"/>
          <w:lang w:val="en-GB"/>
        </w:rPr>
        <w:t>previous concern</w:t>
      </w:r>
      <w:r w:rsidRPr="00EF0266">
        <w:rPr>
          <w:sz w:val="20"/>
          <w:szCs w:val="20"/>
          <w:lang w:val="en-GB"/>
        </w:rPr>
        <w:t>:</w:t>
      </w:r>
      <w:r w:rsidRPr="00EF0266">
        <w:rPr>
          <w:sz w:val="20"/>
          <w:szCs w:val="20"/>
          <w:lang w:val="en-GB"/>
        </w:rPr>
        <w:fldChar w:fldCharType="end"/>
      </w:r>
      <w:r>
        <w:rPr>
          <w:sz w:val="20"/>
          <w:szCs w:val="20"/>
          <w:lang w:val="en-GB"/>
        </w:rPr>
        <w:t xml:space="preserve"> the UE can report the preferred UL beam (via reference RS index) in the UL report which includes estimated P-MPR value. The reference RS index could include CSI-RS/SSB as well as SRS for gNB to select the optimal beam pair. </w:t>
      </w:r>
    </w:p>
    <w:p w14:paraId="1D0E7F50" w14:textId="688B3238" w:rsidR="00855514" w:rsidRDefault="00855514" w:rsidP="00C355F1">
      <w:pPr>
        <w:autoSpaceDE/>
        <w:adjustRightInd/>
        <w:snapToGrid/>
        <w:spacing w:before="80"/>
        <w:rPr>
          <w:sz w:val="20"/>
          <w:szCs w:val="20"/>
          <w:lang w:val="en-GB"/>
        </w:rPr>
      </w:pPr>
      <w:r>
        <w:rPr>
          <w:sz w:val="20"/>
          <w:szCs w:val="20"/>
          <w:lang w:val="en-GB"/>
        </w:rPr>
        <w:t>For multi UE-panel operation, a</w:t>
      </w:r>
      <w:r w:rsidR="003538E7">
        <w:rPr>
          <w:sz w:val="20"/>
          <w:szCs w:val="20"/>
          <w:lang w:val="en-GB"/>
        </w:rPr>
        <w:t xml:space="preserve"> more straight</w:t>
      </w:r>
      <w:r>
        <w:rPr>
          <w:sz w:val="20"/>
          <w:szCs w:val="20"/>
          <w:lang w:val="en-GB"/>
        </w:rPr>
        <w:t xml:space="preserve"> forward way is to let the UE report a</w:t>
      </w:r>
      <w:r w:rsidR="003538E7">
        <w:rPr>
          <w:sz w:val="20"/>
          <w:szCs w:val="20"/>
          <w:lang w:val="en-GB"/>
        </w:rPr>
        <w:t xml:space="preserve"> P-MPR value associated to a UE </w:t>
      </w:r>
      <w:r>
        <w:rPr>
          <w:sz w:val="20"/>
          <w:szCs w:val="20"/>
          <w:lang w:val="en-GB"/>
        </w:rPr>
        <w:t>panel ID. Please note here that the MPE level is related to the physical ant</w:t>
      </w:r>
      <w:r w:rsidR="003538E7">
        <w:rPr>
          <w:sz w:val="20"/>
          <w:szCs w:val="20"/>
          <w:lang w:val="en-GB"/>
        </w:rPr>
        <w:t xml:space="preserve">enna panels. Therefore, a panel </w:t>
      </w:r>
      <w:r>
        <w:rPr>
          <w:sz w:val="20"/>
          <w:szCs w:val="20"/>
          <w:lang w:val="en-GB"/>
        </w:rPr>
        <w:t>ID likely needs to be related to a single physical antenna panel. If the P-MPR of each UE-panel is indicated to the network, the gNB can specify which panel to use and further optimize of the UL scheduling, resource allocation, etc.</w:t>
      </w:r>
    </w:p>
    <w:p w14:paraId="5036EA77" w14:textId="42A78D24" w:rsidR="00855514" w:rsidRPr="00227875" w:rsidRDefault="00097E22" w:rsidP="00227875">
      <w:pPr>
        <w:pStyle w:val="ListParagraph"/>
        <w:numPr>
          <w:ilvl w:val="0"/>
          <w:numId w:val="19"/>
        </w:numPr>
        <w:spacing w:after="120"/>
        <w:jc w:val="left"/>
        <w:rPr>
          <w:rFonts w:ascii="Times New Roman" w:hAnsi="Times New Roman" w:cs="Times New Roman"/>
          <w:sz w:val="28"/>
          <w:szCs w:val="24"/>
        </w:rPr>
      </w:pPr>
      <w:r>
        <w:rPr>
          <w:rFonts w:ascii="Times New Roman" w:hAnsi="Times New Roman" w:cs="Times New Roman"/>
          <w:b/>
          <w:bCs/>
          <w:sz w:val="22"/>
          <w:lang w:val="en-GB"/>
        </w:rPr>
        <w:t>:</w:t>
      </w:r>
      <w:r w:rsidR="00227875" w:rsidRPr="00227875">
        <w:rPr>
          <w:rFonts w:ascii="Times New Roman" w:hAnsi="Times New Roman" w:cs="Times New Roman"/>
          <w:b/>
          <w:bCs/>
          <w:sz w:val="22"/>
          <w:lang w:val="en-GB"/>
        </w:rPr>
        <w:t xml:space="preserve"> </w:t>
      </w:r>
      <w:r w:rsidR="00855514" w:rsidRPr="00227875">
        <w:rPr>
          <w:rFonts w:ascii="Times New Roman" w:hAnsi="Times New Roman" w:cs="Times New Roman"/>
          <w:b/>
          <w:bCs/>
          <w:sz w:val="22"/>
          <w:lang w:val="en-GB"/>
        </w:rPr>
        <w:t>Introducing a panel-speci</w:t>
      </w:r>
      <w:r w:rsidR="002008DE">
        <w:rPr>
          <w:rFonts w:ascii="Times New Roman" w:hAnsi="Times New Roman" w:cs="Times New Roman"/>
          <w:b/>
          <w:bCs/>
          <w:sz w:val="22"/>
          <w:lang w:val="en-GB"/>
        </w:rPr>
        <w:t xml:space="preserve">fic P-MPR associated to a panel </w:t>
      </w:r>
      <w:r w:rsidR="00855514" w:rsidRPr="00227875">
        <w:rPr>
          <w:rFonts w:ascii="Times New Roman" w:hAnsi="Times New Roman" w:cs="Times New Roman"/>
          <w:b/>
          <w:bCs/>
          <w:sz w:val="22"/>
          <w:lang w:val="en-GB"/>
        </w:rPr>
        <w:t>ID.</w:t>
      </w:r>
      <w:r w:rsidR="00855514" w:rsidRPr="00227875">
        <w:rPr>
          <w:rFonts w:ascii="Times New Roman" w:hAnsi="Times New Roman" w:cs="Times New Roman"/>
          <w:sz w:val="28"/>
          <w:szCs w:val="24"/>
        </w:rPr>
        <w:t xml:space="preserve"> </w:t>
      </w:r>
    </w:p>
    <w:p w14:paraId="247F5231" w14:textId="4237131A" w:rsidR="00DE6402" w:rsidRPr="00DE6402" w:rsidRDefault="00DE6402" w:rsidP="00DE6402">
      <w:pPr>
        <w:pStyle w:val="Heading2"/>
        <w:rPr>
          <w:sz w:val="22"/>
          <w:lang w:eastAsia="ja-JP"/>
        </w:rPr>
      </w:pPr>
      <w:r>
        <w:rPr>
          <w:sz w:val="22"/>
          <w:lang w:eastAsia="ja-JP"/>
        </w:rPr>
        <w:t xml:space="preserve">UL beam/panel </w:t>
      </w:r>
      <w:r w:rsidR="003538E7">
        <w:rPr>
          <w:sz w:val="22"/>
          <w:lang w:eastAsia="ja-JP"/>
        </w:rPr>
        <w:t>switching</w:t>
      </w:r>
      <w:r>
        <w:rPr>
          <w:sz w:val="22"/>
          <w:lang w:eastAsia="ja-JP"/>
        </w:rPr>
        <w:t xml:space="preserve"> to avoid MPE</w:t>
      </w:r>
    </w:p>
    <w:p w14:paraId="6F661368" w14:textId="7CF81C85" w:rsidR="00DE6402" w:rsidRPr="003538E7" w:rsidRDefault="00DE6402" w:rsidP="00DE6402">
      <w:pPr>
        <w:pStyle w:val="BodyText"/>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2F1E28">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t>Figure 3</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lang w:eastAsia="zh-CN"/>
        </w:rPr>
        <w:drawing>
          <wp:inline distT="0" distB="0" distL="0" distR="0" wp14:anchorId="00AA1536" wp14:editId="17FC6354">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4705" cy="1075055"/>
                    </a:xfrm>
                    <a:prstGeom prst="rect">
                      <a:avLst/>
                    </a:prstGeom>
                    <a:noFill/>
                    <a:ln>
                      <a:noFill/>
                    </a:ln>
                  </pic:spPr>
                </pic:pic>
              </a:graphicData>
            </a:graphic>
          </wp:inline>
        </w:drawing>
      </w:r>
      <w:r>
        <w:rPr>
          <w:noProof/>
        </w:rPr>
        <w:t xml:space="preserve">      </w:t>
      </w:r>
      <w:r>
        <w:rPr>
          <w:noProof/>
          <w:lang w:eastAsia="zh-CN"/>
        </w:rPr>
        <w:drawing>
          <wp:inline distT="0" distB="0" distL="0" distR="0" wp14:anchorId="487B5586" wp14:editId="3E8CCA03">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1045" cy="1075055"/>
                    </a:xfrm>
                    <a:prstGeom prst="rect">
                      <a:avLst/>
                    </a:prstGeom>
                    <a:noFill/>
                    <a:ln>
                      <a:noFill/>
                    </a:ln>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lang w:eastAsia="zh-CN"/>
        </w:rPr>
        <w:drawing>
          <wp:inline distT="0" distB="0" distL="0" distR="0" wp14:anchorId="3A2EAC75" wp14:editId="2B9AD667">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1520" cy="1391285"/>
                    </a:xfrm>
                    <a:prstGeom prst="rect">
                      <a:avLst/>
                    </a:prstGeom>
                    <a:noFill/>
                    <a:ln>
                      <a:noFill/>
                    </a:ln>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227875" w:rsidRDefault="00DE6402" w:rsidP="003538E7">
      <w:pPr>
        <w:pStyle w:val="ListParagraph"/>
        <w:numPr>
          <w:ilvl w:val="0"/>
          <w:numId w:val="13"/>
        </w:numPr>
        <w:spacing w:after="120"/>
        <w:jc w:val="center"/>
        <w:rPr>
          <w:b/>
          <w:bCs/>
          <w:sz w:val="16"/>
          <w:szCs w:val="18"/>
        </w:rPr>
      </w:pPr>
      <w:bookmarkStart w:id="8" w:name="_Ref47103483"/>
      <w:r w:rsidRPr="00227875">
        <w:rPr>
          <w:rFonts w:ascii="Times New Roman" w:hAnsi="Times New Roman" w:cs="Times New Roman"/>
          <w:b/>
          <w:sz w:val="16"/>
          <w:szCs w:val="18"/>
          <w:lang w:eastAsia="ja-JP"/>
        </w:rPr>
        <w:t xml:space="preserve">: </w:t>
      </w:r>
      <w:r w:rsidR="003538E7" w:rsidRPr="003538E7">
        <w:rPr>
          <w:b/>
          <w:bCs/>
          <w:sz w:val="18"/>
          <w:szCs w:val="18"/>
        </w:rPr>
        <w:t>The view of simulation models of 28 GHz UE mock-ups of t</w:t>
      </w:r>
      <w:r w:rsidR="00D017D3">
        <w:rPr>
          <w:b/>
          <w:bCs/>
          <w:sz w:val="18"/>
          <w:szCs w:val="18"/>
        </w:rPr>
        <w:t>hree different 4×1 arrays, and p</w:t>
      </w:r>
      <w:r w:rsidR="003538E7" w:rsidRPr="003538E7">
        <w:rPr>
          <w:b/>
          <w:bCs/>
          <w:sz w:val="18"/>
          <w:szCs w:val="18"/>
        </w:rPr>
        <w:t xml:space="preserve">hase excitation scheme with a progressive phase shift βi (b) </w:t>
      </w:r>
      <w:r w:rsidR="00D017D3">
        <w:rPr>
          <w:b/>
          <w:bCs/>
          <w:sz w:val="18"/>
          <w:szCs w:val="18"/>
        </w:rPr>
        <w:t>m</w:t>
      </w:r>
      <w:r w:rsidR="003538E7" w:rsidRPr="003538E7">
        <w:rPr>
          <w:b/>
          <w:bCs/>
          <w:sz w:val="18"/>
          <w:szCs w:val="18"/>
        </w:rPr>
        <w:t>aximum 4 cm</w:t>
      </w:r>
      <w:r w:rsidR="00D017D3">
        <w:rPr>
          <w:b/>
          <w:bCs/>
          <w:sz w:val="18"/>
          <w:szCs w:val="18"/>
        </w:rPr>
        <w:t xml:space="preserve"> </w:t>
      </w:r>
      <w:r w:rsidR="003538E7" w:rsidRPr="003538E7">
        <w:rPr>
          <w:b/>
          <w:bCs/>
          <w:sz w:val="18"/>
          <w:szCs w:val="18"/>
        </w:rPr>
        <w:t>2-averaged incident power density when d (distance to the antenna array)  and βi vary for 28 GHz 4×1 array</w:t>
      </w:r>
      <w:r w:rsidRPr="003538E7">
        <w:rPr>
          <w:b/>
          <w:bCs/>
          <w:sz w:val="18"/>
          <w:szCs w:val="18"/>
        </w:rPr>
        <w:t>.</w:t>
      </w:r>
      <w:bookmarkEnd w:id="8"/>
      <w:r w:rsidRPr="003538E7">
        <w:rPr>
          <w:b/>
          <w:bCs/>
          <w:sz w:val="18"/>
          <w:szCs w:val="18"/>
        </w:rPr>
        <w:t xml:space="preserve"> </w:t>
      </w:r>
    </w:p>
    <w:p w14:paraId="0A086F7F" w14:textId="352657CD" w:rsidR="00DE6402" w:rsidRPr="00D93B95" w:rsidRDefault="00A75359" w:rsidP="00401F3B">
      <w:pPr>
        <w:pStyle w:val="ListParagraph"/>
        <w:numPr>
          <w:ilvl w:val="0"/>
          <w:numId w:val="15"/>
        </w:numPr>
        <w:spacing w:after="120"/>
        <w:ind w:left="0" w:firstLine="0"/>
        <w:rPr>
          <w:rFonts w:ascii="Times New Roman" w:hAnsi="Times New Roman" w:cs="Times New Roman"/>
          <w:sz w:val="22"/>
          <w:szCs w:val="20"/>
        </w:rPr>
      </w:pPr>
      <w:r w:rsidRPr="00097E22">
        <w:rPr>
          <w:rFonts w:ascii="Times New Roman" w:hAnsi="Times New Roman" w:cs="Times New Roman"/>
          <w:b/>
          <w:bCs/>
          <w:sz w:val="22"/>
          <w:szCs w:val="20"/>
        </w:rPr>
        <w:t>:</w:t>
      </w:r>
      <w:r w:rsidR="00401F3B">
        <w:rPr>
          <w:rFonts w:ascii="Times New Roman" w:eastAsia="MS Gothic" w:hAnsi="Times New Roman" w:cs="Times New Roman"/>
          <w:b/>
          <w:bCs/>
          <w:sz w:val="22"/>
          <w:szCs w:val="20"/>
          <w:lang w:eastAsia="ja-JP"/>
        </w:rPr>
        <w:t xml:space="preserve"> </w:t>
      </w:r>
      <w:r w:rsidR="00DE6402" w:rsidRPr="00D93B95">
        <w:rPr>
          <w:rFonts w:ascii="Times New Roman" w:eastAsia="MS Gothic" w:hAnsi="Times New Roman" w:cs="Times New Roman"/>
          <w:b/>
          <w:bCs/>
          <w:sz w:val="22"/>
          <w:szCs w:val="20"/>
          <w:lang w:eastAsia="ja-JP"/>
        </w:rPr>
        <w:t>Beam/panel switching can be an effective soluti</w:t>
      </w:r>
      <w:r w:rsidR="00E92F0B">
        <w:rPr>
          <w:rFonts w:ascii="Times New Roman" w:eastAsia="MS Gothic" w:hAnsi="Times New Roman" w:cs="Times New Roman"/>
          <w:b/>
          <w:bCs/>
          <w:sz w:val="22"/>
          <w:szCs w:val="20"/>
          <w:lang w:eastAsia="ja-JP"/>
        </w:rPr>
        <w:t>on and enhancement to mitigate</w:t>
      </w:r>
      <w:r w:rsidR="00DE6402" w:rsidRPr="00D93B95">
        <w:rPr>
          <w:rFonts w:ascii="Times New Roman" w:eastAsia="MS Gothic" w:hAnsi="Times New Roman" w:cs="Times New Roman"/>
          <w:b/>
          <w:bCs/>
          <w:sz w:val="22"/>
          <w:szCs w:val="20"/>
          <w:lang w:eastAsia="ja-JP"/>
        </w:rPr>
        <w:t xml:space="preserve"> the </w:t>
      </w:r>
      <w:r w:rsidR="003538E7">
        <w:rPr>
          <w:rFonts w:ascii="Times New Roman" w:eastAsia="MS Gothic" w:hAnsi="Times New Roman" w:cs="Times New Roman"/>
          <w:b/>
          <w:bCs/>
          <w:sz w:val="22"/>
          <w:szCs w:val="20"/>
          <w:lang w:eastAsia="ja-JP"/>
        </w:rPr>
        <w:t xml:space="preserve">UL </w:t>
      </w:r>
      <w:r w:rsidR="00DE6402" w:rsidRPr="00D93B95">
        <w:rPr>
          <w:rFonts w:ascii="Times New Roman" w:eastAsia="MS Gothic" w:hAnsi="Times New Roman" w:cs="Times New Roman"/>
          <w:b/>
          <w:bCs/>
          <w:sz w:val="22"/>
          <w:szCs w:val="20"/>
          <w:lang w:eastAsia="ja-JP"/>
        </w:rPr>
        <w:t>coverage loss due to MPE.</w:t>
      </w:r>
    </w:p>
    <w:p w14:paraId="2FA1AC09" w14:textId="5896656C" w:rsidR="00BF326B" w:rsidRDefault="00BF326B" w:rsidP="00D93B95">
      <w:pPr>
        <w:pStyle w:val="ListParagraph"/>
        <w:spacing w:after="12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 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401F3B" w:rsidRDefault="00A75359" w:rsidP="00D93B95">
      <w:pPr>
        <w:pStyle w:val="ListParagraph"/>
        <w:numPr>
          <w:ilvl w:val="0"/>
          <w:numId w:val="6"/>
        </w:numPr>
        <w:spacing w:after="12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D017D3" w:rsidRPr="00D017D3">
        <w:rPr>
          <w:rFonts w:ascii="Times New Roman" w:hAnsi="Times New Roman" w:cs="Times New Roman"/>
          <w:b/>
          <w:color w:val="000000" w:themeColor="text1"/>
          <w:sz w:val="22"/>
          <w:szCs w:val="20"/>
        </w:rPr>
        <w:t>To avoid UL MPE issue, it would be beneficial for RAN1 to study and, if necessary, specify the mechanism of UE</w:t>
      </w:r>
      <w:r w:rsidR="00D017D3">
        <w:rPr>
          <w:rFonts w:ascii="Times New Roman" w:hAnsi="Times New Roman" w:cs="Times New Roman"/>
          <w:b/>
          <w:color w:val="000000" w:themeColor="text1"/>
          <w:sz w:val="22"/>
          <w:szCs w:val="20"/>
        </w:rPr>
        <w:t xml:space="preserve"> triggered UL beam/panel switch</w:t>
      </w:r>
      <w:r w:rsidR="00DC6146">
        <w:rPr>
          <w:rFonts w:ascii="Times New Roman" w:hAnsi="Times New Roman" w:cs="Times New Roman"/>
          <w:b/>
          <w:color w:val="000000" w:themeColor="text1"/>
          <w:sz w:val="22"/>
          <w:szCs w:val="20"/>
        </w:rPr>
        <w:t>.</w:t>
      </w:r>
    </w:p>
    <w:p w14:paraId="7F1690A7" w14:textId="00E7FADF" w:rsidR="00401F3B" w:rsidRPr="00401F3B" w:rsidRDefault="00401F3B" w:rsidP="00401F3B">
      <w:pPr>
        <w:spacing w:before="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w:t>
      </w:r>
      <w:r w:rsidR="006B393E">
        <w:rPr>
          <w:sz w:val="20"/>
          <w:lang w:val="en-GB" w:eastAsia="zh-CN"/>
        </w:rPr>
        <w:t>Depending on w</w:t>
      </w:r>
      <w:r>
        <w:rPr>
          <w:sz w:val="20"/>
          <w:lang w:eastAsia="zh-CN"/>
        </w:rPr>
        <w:t xml:space="preserve">hether beam correspondence holds or not at </w:t>
      </w:r>
      <w:r w:rsidR="006B393E">
        <w:rPr>
          <w:sz w:val="20"/>
          <w:lang w:eastAsia="zh-CN"/>
        </w:rPr>
        <w:t xml:space="preserve">the </w:t>
      </w:r>
      <w:r>
        <w:rPr>
          <w:sz w:val="20"/>
          <w:lang w:eastAsia="zh-CN"/>
        </w:rPr>
        <w:t>UE side, due to UL MPE issue, the UE may be scheduled with a</w:t>
      </w:r>
      <w:r w:rsidR="006B393E">
        <w:rPr>
          <w:sz w:val="20"/>
          <w:lang w:eastAsia="zh-CN"/>
        </w:rPr>
        <w:t>n</w:t>
      </w:r>
      <w:r>
        <w:rPr>
          <w:sz w:val="20"/>
          <w:lang w:eastAsia="zh-CN"/>
        </w:rPr>
        <w:t xml:space="preserve"> UL Tx beam which is not the corresponding DL Rx beam. From Rel.15/16 spec, the difference between UL Tx beam and DL Rx beam mentioned above is surely not restricted, thanks to two parallel beam management mechanisms, i.e. TCI states in DL and </w:t>
      </w:r>
      <w:r>
        <w:rPr>
          <w:i/>
          <w:sz w:val="20"/>
          <w:lang w:eastAsia="zh-CN"/>
        </w:rPr>
        <w:t>SpatialRelationInfo</w:t>
      </w:r>
      <w:r>
        <w:rPr>
          <w:sz w:val="20"/>
          <w:lang w:eastAsia="zh-CN"/>
        </w:rPr>
        <w:t xml:space="preserve"> in UL. So we have following observation</w:t>
      </w:r>
    </w:p>
    <w:p w14:paraId="1FB84125" w14:textId="065FB9C5" w:rsidR="00401F3B" w:rsidRPr="00401F3B" w:rsidRDefault="00097E22" w:rsidP="00401F3B">
      <w:pPr>
        <w:pStyle w:val="ListParagraph"/>
        <w:numPr>
          <w:ilvl w:val="0"/>
          <w:numId w:val="15"/>
        </w:numPr>
        <w:spacing w:after="120"/>
        <w:ind w:left="0" w:firstLine="0"/>
        <w:rPr>
          <w:rFonts w:ascii="Times New Roman" w:eastAsia="MS Gothic" w:hAnsi="Times New Roman" w:cs="Times New Roman"/>
          <w:b/>
          <w:bCs/>
          <w:sz w:val="22"/>
          <w:szCs w:val="20"/>
          <w:lang w:eastAsia="ja-JP"/>
        </w:rPr>
      </w:pPr>
      <w:r>
        <w:rPr>
          <w:rFonts w:ascii="Times New Roman" w:eastAsia="MS Gothic" w:hAnsi="Times New Roman" w:cs="Times New Roman"/>
          <w:b/>
          <w:bCs/>
          <w:sz w:val="22"/>
          <w:szCs w:val="20"/>
          <w:lang w:eastAsia="ja-JP"/>
        </w:rPr>
        <w:lastRenderedPageBreak/>
        <w:t>:</w:t>
      </w:r>
      <w:r w:rsidR="00401F3B">
        <w:rPr>
          <w:rFonts w:ascii="Times New Roman" w:eastAsia="MS Gothic" w:hAnsi="Times New Roman" w:cs="Times New Roman"/>
          <w:b/>
          <w:bCs/>
          <w:sz w:val="22"/>
          <w:szCs w:val="20"/>
          <w:lang w:eastAsia="ja-JP"/>
        </w:rPr>
        <w:t xml:space="preserve"> </w:t>
      </w:r>
      <w:r w:rsidR="006B393E" w:rsidRPr="006B393E">
        <w:rPr>
          <w:rFonts w:ascii="Times New Roman" w:eastAsia="MS Gothic" w:hAnsi="Times New Roman" w:cs="Times New Roman"/>
          <w:b/>
          <w:bCs/>
          <w:sz w:val="22"/>
          <w:szCs w:val="20"/>
          <w:lang w:val="en-GB" w:eastAsia="ja-JP"/>
        </w:rPr>
        <w:t xml:space="preserve">Depending on </w:t>
      </w:r>
      <w:r w:rsidR="006B393E">
        <w:rPr>
          <w:rFonts w:ascii="Times New Roman" w:eastAsia="MS Gothic" w:hAnsi="Times New Roman" w:cs="Times New Roman"/>
          <w:b/>
          <w:bCs/>
          <w:sz w:val="22"/>
          <w:szCs w:val="20"/>
          <w:lang w:val="en-GB" w:eastAsia="ja-JP"/>
        </w:rPr>
        <w:t>w</w:t>
      </w:r>
      <w:r w:rsidR="00401F3B" w:rsidRPr="00401F3B">
        <w:rPr>
          <w:rFonts w:ascii="Times New Roman" w:eastAsia="MS Gothic" w:hAnsi="Times New Roman" w:cs="Times New Roman"/>
          <w:b/>
          <w:bCs/>
          <w:sz w:val="22"/>
          <w:szCs w:val="20"/>
          <w:lang w:eastAsia="ja-JP"/>
        </w:rPr>
        <w:t>hether beam correspondence holds or not at UE side, the UE can be scheduled with an UL Tx beam which is not the corresponding DL Rx beam due to UL MPE issue.</w:t>
      </w:r>
    </w:p>
    <w:p w14:paraId="61282996" w14:textId="5F49DCB1" w:rsidR="00401F3B" w:rsidRPr="00401F3B" w:rsidRDefault="00401F3B" w:rsidP="00401F3B">
      <w:pPr>
        <w:rPr>
          <w:sz w:val="20"/>
          <w:szCs w:val="20"/>
        </w:rPr>
      </w:pPr>
      <w:r>
        <w:rPr>
          <w:sz w:val="20"/>
          <w:szCs w:val="20"/>
        </w:rPr>
        <w:t>With the observation above, it is possible to use different beam pair</w:t>
      </w:r>
      <w:r w:rsidR="006B393E">
        <w:rPr>
          <w:sz w:val="20"/>
          <w:szCs w:val="20"/>
        </w:rPr>
        <w:t>s</w:t>
      </w:r>
      <w:r>
        <w:rPr>
          <w:sz w:val="20"/>
          <w:szCs w:val="20"/>
        </w:rPr>
        <w:t xml:space="preserve"> or even different antenna panels for DL and UL. A UE can switch the UL beam or panel towards a new direction or even another TRP but still keep the DL beam if the current beam pair runs into a low UL coverage caused by the MPE restriction. </w:t>
      </w:r>
    </w:p>
    <w:p w14:paraId="739294F0" w14:textId="17C56233" w:rsidR="00531840" w:rsidRPr="001B6AC0" w:rsidRDefault="001B6AC0" w:rsidP="00531840">
      <w:pPr>
        <w:pStyle w:val="Heading1"/>
        <w:rPr>
          <w:sz w:val="24"/>
          <w:lang w:eastAsia="ja-JP"/>
        </w:rPr>
      </w:pPr>
      <w:r w:rsidRPr="001B6AC0">
        <w:rPr>
          <w:sz w:val="24"/>
          <w:lang w:eastAsia="ja-JP"/>
        </w:rPr>
        <w:t>D</w:t>
      </w:r>
      <w:r w:rsidR="00531840" w:rsidRPr="001B6AC0">
        <w:rPr>
          <w:sz w:val="24"/>
          <w:lang w:eastAsia="ja-JP"/>
        </w:rPr>
        <w:t>efinition</w:t>
      </w:r>
      <w:r w:rsidRPr="001B6AC0">
        <w:rPr>
          <w:sz w:val="24"/>
          <w:lang w:eastAsia="ja-JP"/>
        </w:rPr>
        <w:t xml:space="preserve"> on UE antenna</w:t>
      </w:r>
      <w:r w:rsidR="0042527F">
        <w:rPr>
          <w:sz w:val="24"/>
          <w:lang w:eastAsia="ja-JP"/>
        </w:rPr>
        <w:t>s</w:t>
      </w:r>
    </w:p>
    <w:p w14:paraId="63668FEA" w14:textId="68A9FD32" w:rsidR="00AA23FE" w:rsidRPr="00064768" w:rsidRDefault="00AA23FE" w:rsidP="00AA23FE">
      <w:pPr>
        <w:pStyle w:val="Heading2"/>
        <w:rPr>
          <w:sz w:val="22"/>
          <w:lang w:eastAsia="ja-JP"/>
        </w:rPr>
      </w:pPr>
      <w:r w:rsidRPr="00064768">
        <w:rPr>
          <w:sz w:val="22"/>
          <w:lang w:eastAsia="ja-JP"/>
        </w:rPr>
        <w:t>Antenna panel definition</w:t>
      </w:r>
    </w:p>
    <w:p w14:paraId="390614E6" w14:textId="391B08A8" w:rsidR="00064768" w:rsidRPr="006C202C" w:rsidRDefault="00531840" w:rsidP="00531840">
      <w:pPr>
        <w:spacing w:after="80"/>
        <w:rPr>
          <w:sz w:val="20"/>
          <w:lang w:eastAsia="zh-CN"/>
        </w:rPr>
      </w:pPr>
      <w:r w:rsidRPr="001608E0">
        <w:rPr>
          <w:sz w:val="20"/>
          <w:lang w:eastAsia="zh-CN"/>
        </w:rPr>
        <w:t>During offline discussion</w:t>
      </w:r>
      <w:r w:rsidR="0085670B">
        <w:rPr>
          <w:sz w:val="20"/>
          <w:lang w:eastAsia="zh-CN"/>
        </w:rPr>
        <w:t>s</w:t>
      </w:r>
      <w:r w:rsidRPr="001608E0">
        <w:rPr>
          <w:sz w:val="20"/>
          <w:lang w:eastAsia="zh-CN"/>
        </w:rPr>
        <w:t xml:space="preserve"> of RAN1#96bis, it was pointed out that RAN1 still does not have </w:t>
      </w:r>
      <w:r w:rsidR="0085670B">
        <w:rPr>
          <w:sz w:val="20"/>
          <w:lang w:eastAsia="zh-CN"/>
        </w:rPr>
        <w:t xml:space="preserve">a </w:t>
      </w:r>
      <w:r w:rsidRPr="001608E0">
        <w:rPr>
          <w:sz w:val="20"/>
          <w:lang w:eastAsia="zh-CN"/>
        </w:rPr>
        <w:t>clear definition of UE’s antenna panel(s). 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The following </w:t>
      </w:r>
      <w:r>
        <w:rPr>
          <w:sz w:val="20"/>
          <w:lang w:eastAsia="zh-CN"/>
        </w:rPr>
        <w:t xml:space="preserve">conclusion was </w:t>
      </w:r>
      <w:r w:rsidR="0085670B">
        <w:rPr>
          <w:sz w:val="20"/>
          <w:lang w:eastAsia="zh-CN"/>
        </w:rPr>
        <w:t>reached</w:t>
      </w:r>
      <w:r>
        <w:rPr>
          <w:sz w:val="20"/>
          <w:lang w:eastAsia="zh-CN"/>
        </w:rPr>
        <w:t xml:space="preserve"> for informative purpose and </w:t>
      </w:r>
      <w:r w:rsidRPr="001608E0">
        <w:rPr>
          <w:sz w:val="20"/>
          <w:lang w:eastAsia="zh-CN"/>
        </w:rPr>
        <w:t xml:space="preserve">companies </w:t>
      </w:r>
      <w:r>
        <w:rPr>
          <w:sz w:val="20"/>
          <w:lang w:eastAsia="zh-CN"/>
        </w:rPr>
        <w:t xml:space="preserve">have been given enough </w:t>
      </w:r>
      <w:r w:rsidRPr="001608E0">
        <w:rPr>
          <w:sz w:val="20"/>
          <w:lang w:eastAsia="zh-CN"/>
        </w:rPr>
        <w:t>time to digest the consequences.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31840" w:rsidRPr="00797A8E" w14:paraId="0DF7B3F6" w14:textId="77777777" w:rsidTr="00CC7DF6">
        <w:trPr>
          <w:trHeight w:val="3241"/>
        </w:trPr>
        <w:tc>
          <w:tcPr>
            <w:tcW w:w="9259" w:type="dxa"/>
          </w:tcPr>
          <w:p w14:paraId="784AB8C2" w14:textId="77777777" w:rsidR="003967ED" w:rsidRPr="003967ED" w:rsidRDefault="003967ED" w:rsidP="003967ED">
            <w:pPr>
              <w:spacing w:after="60"/>
              <w:rPr>
                <w:b/>
                <w:bCs/>
                <w:sz w:val="20"/>
                <w:szCs w:val="24"/>
                <w:lang w:eastAsia="x-none"/>
              </w:rPr>
            </w:pPr>
            <w:r w:rsidRPr="003967ED">
              <w:rPr>
                <w:b/>
                <w:bCs/>
                <w:lang w:eastAsia="x-none"/>
              </w:rPr>
              <w:t>Conclusion</w:t>
            </w:r>
          </w:p>
          <w:p w14:paraId="659EEFFF"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From RAN1 point of view, a “UE panel” would be a logical entity and how to map physical UE antennas to the logical entity is up to UE implementation. </w:t>
            </w:r>
          </w:p>
          <w:p w14:paraId="1D69FDDA"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For certain condition(s), gNB can assume the mapping between UE’s physical antennas to the logical entity “UE panel” activated for transmission will not be changed </w:t>
            </w:r>
          </w:p>
          <w:p w14:paraId="063C6379"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Whether “UE panel” is transparent to gNB</w:t>
            </w:r>
          </w:p>
          <w:p w14:paraId="55C0D32D"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UE capability includes at least the number of “UE panels”.</w:t>
            </w:r>
          </w:p>
          <w:p w14:paraId="6172445B"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Whether/how to define the certain condition(s)</w:t>
            </w:r>
          </w:p>
          <w:p w14:paraId="77B53D2F" w14:textId="77777777" w:rsidR="003967ED" w:rsidRDefault="003967ED" w:rsidP="003967ED">
            <w:pPr>
              <w:pStyle w:val="LGTdoc"/>
              <w:numPr>
                <w:ilvl w:val="2"/>
                <w:numId w:val="23"/>
              </w:numPr>
              <w:spacing w:afterLines="0" w:line="240" w:lineRule="auto"/>
              <w:contextualSpacing/>
              <w:rPr>
                <w:bCs/>
                <w:sz w:val="20"/>
                <w:szCs w:val="20"/>
                <w:lang w:val="en-US"/>
              </w:rPr>
            </w:pPr>
            <w:r>
              <w:rPr>
                <w:bCs/>
                <w:sz w:val="20"/>
                <w:szCs w:val="20"/>
                <w:lang w:val="en-US"/>
              </w:rPr>
              <w:t>For example: The duration of time over which the gNB assumes there will be no change</w:t>
            </w:r>
          </w:p>
          <w:p w14:paraId="7EF92403" w14:textId="77777777" w:rsidR="003967ED" w:rsidRDefault="003967ED" w:rsidP="003967ED">
            <w:pPr>
              <w:pStyle w:val="LGTdoc"/>
              <w:numPr>
                <w:ilvl w:val="2"/>
                <w:numId w:val="23"/>
              </w:numPr>
              <w:spacing w:afterLines="0" w:line="240" w:lineRule="auto"/>
              <w:contextualSpacing/>
              <w:rPr>
                <w:bCs/>
                <w:sz w:val="20"/>
                <w:szCs w:val="20"/>
                <w:lang w:val="en-US"/>
              </w:rPr>
            </w:pPr>
            <w:r>
              <w:rPr>
                <w:bCs/>
                <w:sz w:val="20"/>
                <w:szCs w:val="20"/>
                <w:lang w:val="en-US"/>
              </w:rPr>
              <w:t>For example: Until next update or report from UE</w:t>
            </w:r>
          </w:p>
          <w:p w14:paraId="36E795AE"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Depending on UE’s own implementation, a “UE panel” can have at least the following functionality as an operational role of </w:t>
            </w:r>
          </w:p>
          <w:p w14:paraId="059DB364" w14:textId="160A85E2" w:rsidR="00531840" w:rsidRPr="003967ED" w:rsidRDefault="003967ED" w:rsidP="00064768">
            <w:pPr>
              <w:pStyle w:val="LGTdoc"/>
              <w:numPr>
                <w:ilvl w:val="1"/>
                <w:numId w:val="23"/>
              </w:numPr>
              <w:spacing w:afterLines="0" w:after="120" w:line="240" w:lineRule="auto"/>
              <w:ind w:left="1202" w:hanging="403"/>
              <w:contextualSpacing/>
              <w:rPr>
                <w:bCs/>
                <w:sz w:val="20"/>
                <w:szCs w:val="20"/>
                <w:lang w:val="en-US"/>
              </w:rPr>
            </w:pPr>
            <w:r>
              <w:rPr>
                <w:bCs/>
                <w:sz w:val="20"/>
                <w:szCs w:val="20"/>
                <w:lang w:val="en-US"/>
              </w:rPr>
              <w:t>Unit of antenna group to control its Tx beam independently</w:t>
            </w:r>
          </w:p>
        </w:tc>
      </w:tr>
    </w:tbl>
    <w:p w14:paraId="70741E7E" w14:textId="0A676C8A" w:rsidR="00064768" w:rsidRDefault="00064768" w:rsidP="00064768">
      <w:pPr>
        <w:spacing w:before="80"/>
        <w:rPr>
          <w:sz w:val="20"/>
          <w:szCs w:val="20"/>
          <w:lang w:eastAsia="zh-CN"/>
        </w:rPr>
      </w:pPr>
      <w:r>
        <w:rPr>
          <w:sz w:val="20"/>
          <w:szCs w:val="20"/>
          <w:lang w:eastAsia="ja-JP"/>
        </w:rPr>
        <w:t xml:space="preserve">Furthermore, in the </w:t>
      </w:r>
      <w:r>
        <w:rPr>
          <w:sz w:val="20"/>
          <w:szCs w:val="20"/>
          <w:lang w:eastAsia="zh-CN"/>
        </w:rPr>
        <w:t xml:space="preserve">WID on multi-beam enhancement of Rel.17, features facilitating UL beam selection for UEs equipped with multiple panels, considering UL coverage loss mitigation due to MPE, based on UL beam indication with the unified TCI framework for UL fast panel selection are targeted. To </w:t>
      </w:r>
      <w:r w:rsidR="00B50A4D">
        <w:rPr>
          <w:sz w:val="20"/>
          <w:szCs w:val="20"/>
          <w:lang w:eastAsia="zh-CN"/>
        </w:rPr>
        <w:t>achieve those goals</w:t>
      </w:r>
      <w:r w:rsidR="00317148">
        <w:rPr>
          <w:sz w:val="20"/>
          <w:szCs w:val="20"/>
          <w:lang w:eastAsia="zh-CN"/>
        </w:rPr>
        <w:t xml:space="preserve">, we have following </w:t>
      </w:r>
    </w:p>
    <w:p w14:paraId="57FF1922" w14:textId="7B1E6E1E" w:rsidR="00064768" w:rsidRDefault="00A75359" w:rsidP="00064768">
      <w:pPr>
        <w:pStyle w:val="ListParagraph"/>
        <w:numPr>
          <w:ilvl w:val="0"/>
          <w:numId w:val="15"/>
        </w:numPr>
        <w:spacing w:after="120"/>
        <w:ind w:left="0" w:firstLine="0"/>
        <w:rPr>
          <w:rFonts w:ascii="Times New Roman" w:hAnsi="Times New Roman" w:cs="Times New Roman"/>
          <w:b/>
          <w:sz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064768" w:rsidRPr="006E6D6E">
        <w:rPr>
          <w:rFonts w:ascii="Times New Roman" w:hAnsi="Times New Roman" w:cs="Times New Roman"/>
          <w:b/>
          <w:sz w:val="22"/>
        </w:rPr>
        <w:t xml:space="preserve">To enable an efficient implementation of features for </w:t>
      </w:r>
      <w:r w:rsidR="00DA5784">
        <w:rPr>
          <w:rFonts w:ascii="Times New Roman" w:hAnsi="Times New Roman" w:cs="Times New Roman"/>
          <w:b/>
          <w:sz w:val="22"/>
        </w:rPr>
        <w:t xml:space="preserve">Rel.17 </w:t>
      </w:r>
      <w:r w:rsidR="00B50A4D">
        <w:rPr>
          <w:rFonts w:ascii="Times New Roman" w:hAnsi="Times New Roman" w:cs="Times New Roman"/>
          <w:b/>
          <w:sz w:val="22"/>
        </w:rPr>
        <w:t xml:space="preserve">UL </w:t>
      </w:r>
      <w:r w:rsidR="00064768" w:rsidRPr="006E6D6E">
        <w:rPr>
          <w:rFonts w:ascii="Times New Roman" w:hAnsi="Times New Roman" w:cs="Times New Roman"/>
          <w:b/>
          <w:sz w:val="22"/>
        </w:rPr>
        <w:t>multi</w:t>
      </w:r>
      <w:r w:rsidR="00DA5784">
        <w:rPr>
          <w:rFonts w:ascii="Times New Roman" w:hAnsi="Times New Roman" w:cs="Times New Roman"/>
          <w:b/>
          <w:sz w:val="22"/>
        </w:rPr>
        <w:t>-</w:t>
      </w:r>
      <w:r w:rsidR="00064768" w:rsidRPr="006E6D6E">
        <w:rPr>
          <w:rFonts w:ascii="Times New Roman" w:hAnsi="Times New Roman" w:cs="Times New Roman"/>
          <w:b/>
          <w:sz w:val="22"/>
        </w:rPr>
        <w:t>panel operation, a definition of “UE</w:t>
      </w:r>
      <w:r w:rsidR="00DA5784">
        <w:rPr>
          <w:rFonts w:ascii="Times New Roman" w:hAnsi="Times New Roman" w:cs="Times New Roman"/>
          <w:b/>
          <w:sz w:val="22"/>
        </w:rPr>
        <w:t xml:space="preserve"> </w:t>
      </w:r>
      <w:r w:rsidR="00064768" w:rsidRPr="006E6D6E">
        <w:rPr>
          <w:rFonts w:ascii="Times New Roman" w:hAnsi="Times New Roman" w:cs="Times New Roman"/>
          <w:b/>
          <w:sz w:val="22"/>
        </w:rPr>
        <w:t>panel” is a prerequisite.</w:t>
      </w:r>
    </w:p>
    <w:p w14:paraId="578309B5" w14:textId="60496587" w:rsidR="00317148" w:rsidRDefault="00317148" w:rsidP="00520C26">
      <w:pPr>
        <w:rPr>
          <w:sz w:val="20"/>
          <w:szCs w:val="20"/>
          <w:lang w:eastAsia="ko-KR"/>
        </w:rPr>
      </w:pPr>
      <w:r>
        <w:rPr>
          <w:sz w:val="20"/>
          <w:szCs w:val="20"/>
          <w:lang w:eastAsia="ko-KR"/>
        </w:rPr>
        <w:t xml:space="preserve">The definition of antenna panel may vary from implementation to implementation. However, </w:t>
      </w:r>
      <w:r w:rsidR="00B50A4D">
        <w:rPr>
          <w:sz w:val="20"/>
          <w:szCs w:val="20"/>
          <w:lang w:eastAsia="ko-KR"/>
        </w:rPr>
        <w:t>to enable an effective multi-</w:t>
      </w:r>
      <w:r>
        <w:rPr>
          <w:sz w:val="20"/>
          <w:szCs w:val="20"/>
          <w:lang w:eastAsia="ko-KR"/>
        </w:rPr>
        <w:t>panel operation, we sugg</w:t>
      </w:r>
      <w:r w:rsidR="00B50A4D">
        <w:rPr>
          <w:sz w:val="20"/>
          <w:szCs w:val="20"/>
          <w:lang w:eastAsia="ko-KR"/>
        </w:rPr>
        <w:t xml:space="preserve">est that the definition of a UE </w:t>
      </w:r>
      <w:r>
        <w:rPr>
          <w:sz w:val="20"/>
          <w:szCs w:val="20"/>
          <w:lang w:eastAsia="ko-KR"/>
        </w:rPr>
        <w:t xml:space="preserve">panel shall be formulated in such a way that it can be associated with one or more of the properties listed below. </w:t>
      </w:r>
    </w:p>
    <w:p w14:paraId="5918548C" w14:textId="3ADDA88A" w:rsidR="00317148" w:rsidRDefault="00B50A4D" w:rsidP="00B50A4D">
      <w:pPr>
        <w:pStyle w:val="ListParagraph"/>
        <w:spacing w:afterLines="50" w:after="120" w:line="240" w:lineRule="atLeast"/>
        <w:ind w:left="718" w:hanging="718"/>
        <w:contextualSpacing/>
        <w:rPr>
          <w:b/>
          <w:bCs/>
          <w:sz w:val="20"/>
          <w:szCs w:val="20"/>
          <w:u w:val="single"/>
          <w:lang w:eastAsia="ko-KR"/>
        </w:rPr>
      </w:pPr>
      <w:r>
        <w:rPr>
          <w:b/>
          <w:bCs/>
          <w:sz w:val="20"/>
          <w:szCs w:val="20"/>
          <w:u w:val="single"/>
          <w:lang w:eastAsia="ko-KR"/>
        </w:rPr>
        <w:t>UE p</w:t>
      </w:r>
      <w:r w:rsidR="00317148">
        <w:rPr>
          <w:b/>
          <w:bCs/>
          <w:sz w:val="20"/>
          <w:szCs w:val="20"/>
          <w:u w:val="single"/>
          <w:lang w:eastAsia="ko-KR"/>
        </w:rPr>
        <w:t>anel properties</w:t>
      </w:r>
    </w:p>
    <w:p w14:paraId="15705900" w14:textId="79235286" w:rsidR="00317148" w:rsidRDefault="00222F15" w:rsidP="00B50A4D">
      <w:pPr>
        <w:pStyle w:val="ListParagraph"/>
        <w:numPr>
          <w:ilvl w:val="0"/>
          <w:numId w:val="21"/>
        </w:numPr>
        <w:tabs>
          <w:tab w:val="left" w:pos="426"/>
          <w:tab w:val="left" w:pos="709"/>
        </w:tabs>
        <w:spacing w:afterLines="50" w:after="120" w:line="240" w:lineRule="atLeast"/>
        <w:ind w:hanging="718"/>
        <w:contextualSpacing/>
        <w:rPr>
          <w:sz w:val="20"/>
          <w:szCs w:val="20"/>
          <w:lang w:eastAsia="ko-KR"/>
        </w:rPr>
      </w:pPr>
      <w:r>
        <w:rPr>
          <w:sz w:val="20"/>
          <w:szCs w:val="20"/>
          <w:lang w:eastAsia="ko-KR"/>
        </w:rPr>
        <w:t xml:space="preserve">A UE </w:t>
      </w:r>
      <w:r w:rsidR="00317148">
        <w:rPr>
          <w:sz w:val="20"/>
          <w:szCs w:val="20"/>
          <w:lang w:eastAsia="ko-KR"/>
        </w:rPr>
        <w:t xml:space="preserve">panel supports </w:t>
      </w:r>
      <w:r w:rsidR="00317148">
        <w:rPr>
          <w:b/>
          <w:bCs/>
          <w:i/>
          <w:iCs/>
          <w:sz w:val="20"/>
          <w:szCs w:val="20"/>
          <w:lang w:eastAsia="ko-KR"/>
        </w:rPr>
        <w:t>Y</w:t>
      </w:r>
      <w:r w:rsidR="00317148">
        <w:rPr>
          <w:sz w:val="20"/>
          <w:szCs w:val="20"/>
          <w:lang w:eastAsia="ko-KR"/>
        </w:rPr>
        <w:t xml:space="preserve"> beams</w:t>
      </w:r>
    </w:p>
    <w:p w14:paraId="12131C2F" w14:textId="3A4B7A0F"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Whether a UE</w:t>
      </w:r>
      <w:r w:rsidR="00222F15">
        <w:rPr>
          <w:sz w:val="20"/>
          <w:szCs w:val="20"/>
          <w:lang w:eastAsia="ko-KR"/>
        </w:rPr>
        <w:t xml:space="preserve"> </w:t>
      </w:r>
      <w:r>
        <w:rPr>
          <w:sz w:val="20"/>
          <w:szCs w:val="20"/>
          <w:lang w:eastAsia="ko-KR"/>
        </w:rPr>
        <w:t>panel supports beam correspondence (BC)</w:t>
      </w:r>
    </w:p>
    <w:p w14:paraId="022CFFFC" w14:textId="330BD722"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A UE</w:t>
      </w:r>
      <w:r w:rsidR="00222F15">
        <w:rPr>
          <w:sz w:val="20"/>
          <w:szCs w:val="20"/>
          <w:lang w:eastAsia="ko-KR"/>
        </w:rPr>
        <w:t xml:space="preserve"> </w:t>
      </w:r>
      <w:r>
        <w:rPr>
          <w:sz w:val="20"/>
          <w:szCs w:val="20"/>
          <w:lang w:eastAsia="ko-KR"/>
        </w:rPr>
        <w:t xml:space="preserve">panel supports </w:t>
      </w:r>
      <w:r>
        <w:rPr>
          <w:b/>
          <w:bCs/>
          <w:i/>
          <w:iCs/>
          <w:sz w:val="20"/>
          <w:szCs w:val="20"/>
          <w:lang w:eastAsia="ko-KR"/>
        </w:rPr>
        <w:t>Y</w:t>
      </w:r>
      <w:r>
        <w:rPr>
          <w:sz w:val="20"/>
          <w:szCs w:val="20"/>
          <w:vertAlign w:val="subscript"/>
          <w:lang w:eastAsia="ko-KR"/>
        </w:rPr>
        <w:t>RX</w:t>
      </w:r>
      <w:r>
        <w:rPr>
          <w:sz w:val="20"/>
          <w:szCs w:val="20"/>
          <w:lang w:eastAsia="ko-KR"/>
        </w:rPr>
        <w:t xml:space="preserve"> independent Rx-beams (from the </w:t>
      </w:r>
      <w:r>
        <w:rPr>
          <w:b/>
          <w:bCs/>
          <w:i/>
          <w:iCs/>
          <w:sz w:val="20"/>
          <w:szCs w:val="20"/>
          <w:lang w:eastAsia="ko-KR"/>
        </w:rPr>
        <w:t>Y</w:t>
      </w:r>
      <w:r>
        <w:rPr>
          <w:sz w:val="20"/>
          <w:szCs w:val="20"/>
          <w:lang w:eastAsia="ko-KR"/>
        </w:rPr>
        <w:t xml:space="preserve"> set of beams)</w:t>
      </w:r>
    </w:p>
    <w:p w14:paraId="13650FE9"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 xml:space="preserve">coherent </w:t>
      </w:r>
    </w:p>
    <w:p w14:paraId="27201B51"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 xml:space="preserve">non-coherent </w:t>
      </w:r>
    </w:p>
    <w:p w14:paraId="15C4A95A" w14:textId="42168F75"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 xml:space="preserve">A </w:t>
      </w:r>
      <w:r w:rsidR="00222F15">
        <w:rPr>
          <w:sz w:val="20"/>
          <w:szCs w:val="20"/>
          <w:lang w:eastAsia="ko-KR"/>
        </w:rPr>
        <w:t>UE panel</w:t>
      </w:r>
      <w:r>
        <w:rPr>
          <w:sz w:val="20"/>
          <w:szCs w:val="20"/>
          <w:lang w:eastAsia="ko-KR"/>
        </w:rPr>
        <w:t xml:space="preserve"> supports </w:t>
      </w:r>
      <w:r w:rsidRPr="00B50A4D">
        <w:rPr>
          <w:sz w:val="20"/>
          <w:szCs w:val="20"/>
          <w:lang w:eastAsia="ko-KR"/>
        </w:rPr>
        <w:t>Y</w:t>
      </w:r>
      <w:r w:rsidRPr="00222F15">
        <w:rPr>
          <w:sz w:val="20"/>
          <w:szCs w:val="20"/>
          <w:vertAlign w:val="subscript"/>
          <w:lang w:eastAsia="ko-KR"/>
        </w:rPr>
        <w:t>TX</w:t>
      </w:r>
      <w:r w:rsidR="007875B2">
        <w:rPr>
          <w:sz w:val="20"/>
          <w:szCs w:val="20"/>
          <w:lang w:eastAsia="ko-KR"/>
        </w:rPr>
        <w:t xml:space="preserve"> independent Tx </w:t>
      </w:r>
      <w:r>
        <w:rPr>
          <w:sz w:val="20"/>
          <w:szCs w:val="20"/>
          <w:lang w:eastAsia="ko-KR"/>
        </w:rPr>
        <w:t xml:space="preserve">beams (from the </w:t>
      </w:r>
      <w:r w:rsidRPr="00B50A4D">
        <w:rPr>
          <w:sz w:val="20"/>
          <w:szCs w:val="20"/>
          <w:lang w:eastAsia="ko-KR"/>
        </w:rPr>
        <w:t>Y</w:t>
      </w:r>
      <w:r>
        <w:rPr>
          <w:sz w:val="20"/>
          <w:szCs w:val="20"/>
          <w:lang w:eastAsia="ko-KR"/>
        </w:rPr>
        <w:t xml:space="preserve"> set of beams)</w:t>
      </w:r>
    </w:p>
    <w:p w14:paraId="34A19AA4"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 xml:space="preserve">coherent </w:t>
      </w:r>
    </w:p>
    <w:p w14:paraId="36B66137"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 xml:space="preserve">non-coherent </w:t>
      </w:r>
    </w:p>
    <w:p w14:paraId="0DBC5A71" w14:textId="4FBB21D5"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 xml:space="preserve">Each beam from a </w:t>
      </w:r>
      <w:r w:rsidR="00222F15">
        <w:rPr>
          <w:sz w:val="20"/>
          <w:szCs w:val="20"/>
          <w:lang w:eastAsia="ko-KR"/>
        </w:rPr>
        <w:t>UE panel</w:t>
      </w:r>
      <w:r>
        <w:rPr>
          <w:sz w:val="20"/>
          <w:szCs w:val="20"/>
          <w:lang w:eastAsia="ko-KR"/>
        </w:rPr>
        <w:t xml:space="preserve"> may support one or two polarizations when </w:t>
      </w:r>
      <w:r w:rsidRPr="00B50A4D">
        <w:rPr>
          <w:sz w:val="20"/>
          <w:szCs w:val="20"/>
          <w:lang w:eastAsia="ko-KR"/>
        </w:rPr>
        <w:t>receiving</w:t>
      </w:r>
    </w:p>
    <w:p w14:paraId="0DE66444"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Single layer (coherent)</w:t>
      </w:r>
    </w:p>
    <w:p w14:paraId="5AA1358E"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Dual layer (coherent or non-coherent)</w:t>
      </w:r>
    </w:p>
    <w:p w14:paraId="759072E8" w14:textId="018FDC9F"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 xml:space="preserve">Each beam from a </w:t>
      </w:r>
      <w:r w:rsidR="00222F15">
        <w:rPr>
          <w:sz w:val="20"/>
          <w:szCs w:val="20"/>
          <w:lang w:eastAsia="ko-KR"/>
        </w:rPr>
        <w:t>UE panel</w:t>
      </w:r>
      <w:r>
        <w:rPr>
          <w:sz w:val="20"/>
          <w:szCs w:val="20"/>
          <w:lang w:eastAsia="ko-KR"/>
        </w:rPr>
        <w:t xml:space="preserve"> may support one or two polarizations when </w:t>
      </w:r>
      <w:r w:rsidRPr="00B50A4D">
        <w:rPr>
          <w:sz w:val="20"/>
          <w:szCs w:val="20"/>
          <w:lang w:eastAsia="ko-KR"/>
        </w:rPr>
        <w:t>transmitting</w:t>
      </w:r>
    </w:p>
    <w:p w14:paraId="419524D1"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Single layer (coherent)</w:t>
      </w:r>
    </w:p>
    <w:p w14:paraId="11B24D8E"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Dual layer (coherent or non-coherent)</w:t>
      </w:r>
    </w:p>
    <w:p w14:paraId="0055FC15" w14:textId="760CC51B" w:rsidR="00317148" w:rsidRDefault="00317148" w:rsidP="00520C26">
      <w:pPr>
        <w:pStyle w:val="ListParagraph"/>
        <w:numPr>
          <w:ilvl w:val="0"/>
          <w:numId w:val="21"/>
        </w:numPr>
        <w:tabs>
          <w:tab w:val="left" w:pos="426"/>
        </w:tabs>
        <w:spacing w:after="120" w:line="240" w:lineRule="atLeast"/>
        <w:ind w:hanging="720"/>
        <w:contextualSpacing/>
        <w:rPr>
          <w:sz w:val="20"/>
          <w:szCs w:val="20"/>
          <w:lang w:eastAsia="ko-KR"/>
        </w:rPr>
      </w:pPr>
      <w:r>
        <w:rPr>
          <w:sz w:val="20"/>
          <w:szCs w:val="20"/>
          <w:lang w:eastAsia="ko-KR"/>
        </w:rPr>
        <w:t xml:space="preserve">A </w:t>
      </w:r>
      <w:r w:rsidR="00222F15">
        <w:rPr>
          <w:sz w:val="20"/>
          <w:szCs w:val="20"/>
          <w:lang w:eastAsia="ko-KR"/>
        </w:rPr>
        <w:t>UE panel</w:t>
      </w:r>
      <w:r>
        <w:rPr>
          <w:sz w:val="20"/>
          <w:szCs w:val="20"/>
          <w:lang w:eastAsia="ko-KR"/>
        </w:rPr>
        <w:t xml:space="preserve"> has an associated P-MPR</w:t>
      </w:r>
    </w:p>
    <w:p w14:paraId="7DB46DA5" w14:textId="0C17A137" w:rsidR="00317148" w:rsidRDefault="00317148" w:rsidP="00317148">
      <w:pPr>
        <w:spacing w:afterLines="50" w:line="240" w:lineRule="atLeast"/>
        <w:contextualSpacing/>
        <w:rPr>
          <w:sz w:val="20"/>
          <w:szCs w:val="20"/>
          <w:lang w:eastAsia="ko-KR"/>
        </w:rPr>
      </w:pPr>
      <w:r>
        <w:rPr>
          <w:sz w:val="20"/>
          <w:szCs w:val="20"/>
          <w:lang w:eastAsia="ko-KR"/>
        </w:rPr>
        <w:t>To enable the mu</w:t>
      </w:r>
      <w:r w:rsidR="007875B2">
        <w:rPr>
          <w:sz w:val="20"/>
          <w:szCs w:val="20"/>
          <w:lang w:eastAsia="ko-KR"/>
        </w:rPr>
        <w:t xml:space="preserve">lti-panel operation and let UE </w:t>
      </w:r>
      <w:r>
        <w:rPr>
          <w:sz w:val="20"/>
          <w:szCs w:val="20"/>
          <w:lang w:eastAsia="ko-KR"/>
        </w:rPr>
        <w:t>select the optimal panel, a panel ID in addition to the spatial relation is necessary. This ID enables the UE to report the panel specific capability as listed above. In addition, some other UE panel propert</w:t>
      </w:r>
      <w:r w:rsidR="007875B2">
        <w:rPr>
          <w:sz w:val="20"/>
          <w:szCs w:val="20"/>
          <w:lang w:eastAsia="ko-KR"/>
        </w:rPr>
        <w:t xml:space="preserve">ies are not listed above, e.g. </w:t>
      </w:r>
      <w:r>
        <w:rPr>
          <w:sz w:val="20"/>
          <w:szCs w:val="20"/>
          <w:lang w:eastAsia="ko-KR"/>
        </w:rPr>
        <w:t xml:space="preserve">supported beam widths, has not been discussed so much in RAN1 so </w:t>
      </w:r>
      <w:r>
        <w:rPr>
          <w:sz w:val="20"/>
          <w:szCs w:val="20"/>
          <w:lang w:eastAsia="ko-KR"/>
        </w:rPr>
        <w:lastRenderedPageBreak/>
        <w:t xml:space="preserve">far. However, we identify them as critical for further enhancement on multiple beam operation and coverage extension, which shall not be precluded in the discussion. </w:t>
      </w:r>
      <w:r>
        <w:rPr>
          <w:sz w:val="20"/>
          <w:szCs w:val="20"/>
          <w:lang w:eastAsia="zh-CN"/>
        </w:rPr>
        <w:t>Consequently, for a UE that support</w:t>
      </w:r>
      <w:r w:rsidR="00A87129">
        <w:rPr>
          <w:sz w:val="20"/>
          <w:szCs w:val="20"/>
          <w:lang w:eastAsia="zh-CN"/>
        </w:rPr>
        <w:t>s multi-</w:t>
      </w:r>
      <w:r>
        <w:rPr>
          <w:sz w:val="20"/>
          <w:szCs w:val="20"/>
          <w:lang w:eastAsia="zh-CN"/>
        </w:rPr>
        <w:t>panel operation, the following capabilities or properties may a</w:t>
      </w:r>
      <w:r w:rsidR="00A87129">
        <w:rPr>
          <w:sz w:val="20"/>
          <w:szCs w:val="20"/>
          <w:lang w:eastAsia="zh-CN"/>
        </w:rPr>
        <w:t>lso need to be further defined</w:t>
      </w:r>
      <w:r w:rsidR="001B6AC0">
        <w:rPr>
          <w:sz w:val="20"/>
          <w:szCs w:val="20"/>
          <w:lang w:eastAsia="zh-CN"/>
        </w:rPr>
        <w:t xml:space="preserve"> and have following proposal</w:t>
      </w:r>
    </w:p>
    <w:p w14:paraId="0DDF3FBE" w14:textId="470B0FA9" w:rsidR="00317148" w:rsidRDefault="00222F15" w:rsidP="00B50A4D">
      <w:pPr>
        <w:pStyle w:val="ListParagraph"/>
        <w:spacing w:afterLines="50" w:after="120" w:line="240" w:lineRule="atLeast"/>
        <w:ind w:left="718" w:hanging="718"/>
        <w:contextualSpacing/>
        <w:rPr>
          <w:b/>
          <w:bCs/>
          <w:sz w:val="20"/>
          <w:szCs w:val="20"/>
          <w:u w:val="single"/>
          <w:lang w:eastAsia="ko-KR"/>
        </w:rPr>
      </w:pPr>
      <w:r>
        <w:rPr>
          <w:b/>
          <w:bCs/>
          <w:sz w:val="20"/>
          <w:szCs w:val="20"/>
          <w:u w:val="single"/>
          <w:lang w:eastAsia="ko-KR"/>
        </w:rPr>
        <w:t>UE panel</w:t>
      </w:r>
      <w:r w:rsidR="00A87129">
        <w:rPr>
          <w:b/>
          <w:bCs/>
          <w:sz w:val="20"/>
          <w:szCs w:val="20"/>
          <w:u w:val="single"/>
          <w:lang w:eastAsia="ko-KR"/>
        </w:rPr>
        <w:t xml:space="preserve"> related p</w:t>
      </w:r>
      <w:r w:rsidR="00520C26">
        <w:rPr>
          <w:b/>
          <w:bCs/>
          <w:sz w:val="20"/>
          <w:szCs w:val="20"/>
          <w:u w:val="single"/>
          <w:lang w:eastAsia="ko-KR"/>
        </w:rPr>
        <w:t>roperties</w:t>
      </w:r>
    </w:p>
    <w:p w14:paraId="4D14EB69" w14:textId="459B9A86"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UE may have up to </w:t>
      </w:r>
      <w:r w:rsidRPr="00A87129">
        <w:rPr>
          <w:bCs/>
          <w:i/>
          <w:iCs/>
          <w:sz w:val="20"/>
          <w:szCs w:val="20"/>
          <w:lang w:eastAsia="ko-KR"/>
        </w:rPr>
        <w:t>X</w:t>
      </w:r>
      <w:r w:rsidRPr="00A87129">
        <w:rPr>
          <w:sz w:val="20"/>
          <w:szCs w:val="20"/>
          <w:vertAlign w:val="subscript"/>
          <w:lang w:eastAsia="ko-KR"/>
        </w:rPr>
        <w:t>1</w:t>
      </w:r>
      <w:r w:rsidRPr="00A87129">
        <w:rPr>
          <w:sz w:val="20"/>
          <w:szCs w:val="20"/>
          <w:lang w:eastAsia="ko-KR"/>
        </w:rPr>
        <w:t xml:space="preserve"> </w:t>
      </w:r>
      <w:r w:rsidR="00222F15" w:rsidRPr="00A87129">
        <w:rPr>
          <w:sz w:val="20"/>
          <w:szCs w:val="20"/>
          <w:lang w:eastAsia="ko-KR"/>
        </w:rPr>
        <w:t>UE panel</w:t>
      </w:r>
      <w:r w:rsidRPr="00A87129">
        <w:rPr>
          <w:sz w:val="20"/>
          <w:szCs w:val="20"/>
          <w:lang w:eastAsia="ko-KR"/>
        </w:rPr>
        <w:t>s</w:t>
      </w:r>
    </w:p>
    <w:p w14:paraId="369809D1" w14:textId="18034E86"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w:t>
      </w:r>
      <w:r w:rsidR="00222F15" w:rsidRPr="00A87129">
        <w:rPr>
          <w:sz w:val="20"/>
          <w:szCs w:val="20"/>
          <w:lang w:eastAsia="ko-KR"/>
        </w:rPr>
        <w:t>UE panel</w:t>
      </w:r>
      <w:r w:rsidRPr="00A87129">
        <w:rPr>
          <w:sz w:val="20"/>
          <w:szCs w:val="20"/>
          <w:lang w:eastAsia="ko-KR"/>
        </w:rPr>
        <w:t xml:space="preserve"> has an associated </w:t>
      </w:r>
      <w:r w:rsidR="00222F15" w:rsidRPr="00A87129">
        <w:rPr>
          <w:sz w:val="20"/>
          <w:szCs w:val="20"/>
          <w:lang w:eastAsia="ko-KR"/>
        </w:rPr>
        <w:t>UE panel</w:t>
      </w:r>
      <w:r w:rsidR="002058F0">
        <w:rPr>
          <w:sz w:val="20"/>
          <w:szCs w:val="20"/>
          <w:lang w:eastAsia="ko-KR"/>
        </w:rPr>
        <w:t xml:space="preserve"> ID</w:t>
      </w:r>
    </w:p>
    <w:p w14:paraId="01BD5545" w14:textId="509D58EB"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UE supports </w:t>
      </w:r>
      <w:r w:rsidRPr="00A87129">
        <w:rPr>
          <w:bCs/>
          <w:i/>
          <w:iCs/>
          <w:sz w:val="20"/>
          <w:szCs w:val="20"/>
          <w:lang w:eastAsia="ko-KR"/>
        </w:rPr>
        <w:t>N</w:t>
      </w:r>
      <w:r w:rsidRPr="00A87129">
        <w:rPr>
          <w:sz w:val="20"/>
          <w:szCs w:val="20"/>
          <w:vertAlign w:val="subscript"/>
          <w:lang w:eastAsia="ko-KR"/>
        </w:rPr>
        <w:t>Rx</w:t>
      </w:r>
      <w:r w:rsidRPr="00A87129">
        <w:rPr>
          <w:sz w:val="20"/>
          <w:szCs w:val="20"/>
          <w:lang w:eastAsia="ko-KR"/>
        </w:rPr>
        <w:t xml:space="preserve"> simultaneous Rx la</w:t>
      </w:r>
      <w:r w:rsidR="002058F0">
        <w:rPr>
          <w:sz w:val="20"/>
          <w:szCs w:val="20"/>
          <w:lang w:eastAsia="ko-KR"/>
        </w:rPr>
        <w:t>yers (coherent or non-coherent)</w:t>
      </w:r>
      <w:r w:rsidRPr="00A87129">
        <w:rPr>
          <w:sz w:val="20"/>
          <w:szCs w:val="20"/>
          <w:lang w:eastAsia="ko-KR"/>
        </w:rPr>
        <w:t>*</w:t>
      </w:r>
    </w:p>
    <w:p w14:paraId="577CF056" w14:textId="3F691294"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UE supports </w:t>
      </w:r>
      <w:r w:rsidRPr="00A87129">
        <w:rPr>
          <w:bCs/>
          <w:i/>
          <w:iCs/>
          <w:sz w:val="20"/>
          <w:szCs w:val="20"/>
          <w:lang w:eastAsia="ko-KR"/>
        </w:rPr>
        <w:t>N</w:t>
      </w:r>
      <w:r w:rsidRPr="00A87129">
        <w:rPr>
          <w:sz w:val="20"/>
          <w:szCs w:val="20"/>
          <w:vertAlign w:val="subscript"/>
          <w:lang w:eastAsia="ko-KR"/>
        </w:rPr>
        <w:t>Tx</w:t>
      </w:r>
      <w:r w:rsidRPr="00A87129">
        <w:rPr>
          <w:sz w:val="20"/>
          <w:szCs w:val="20"/>
          <w:lang w:eastAsia="ko-KR"/>
        </w:rPr>
        <w:t xml:space="preserve"> simultaneous Tx layers (coherent or non-coherent)*</w:t>
      </w:r>
    </w:p>
    <w:p w14:paraId="6F1CFCE4" w14:textId="77777777"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A panel has an activation-delay when in standby</w:t>
      </w:r>
    </w:p>
    <w:p w14:paraId="461EAC04" w14:textId="4ADC893B"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Unit of </w:t>
      </w:r>
      <w:r w:rsidR="00222F15" w:rsidRPr="00A87129">
        <w:rPr>
          <w:sz w:val="20"/>
          <w:szCs w:val="20"/>
          <w:lang w:eastAsia="ko-KR"/>
        </w:rPr>
        <w:t>UE panel</w:t>
      </w:r>
      <w:r w:rsidRPr="00A87129">
        <w:rPr>
          <w:sz w:val="20"/>
          <w:szCs w:val="20"/>
          <w:lang w:eastAsia="ko-KR"/>
        </w:rPr>
        <w:t xml:space="preserve"> group to control UL timing</w:t>
      </w:r>
    </w:p>
    <w:p w14:paraId="21B9F297" w14:textId="7820FD65" w:rsidR="00317148" w:rsidRPr="00A87129" w:rsidRDefault="00317148" w:rsidP="00D7593B">
      <w:pPr>
        <w:pStyle w:val="ListParagraph"/>
        <w:numPr>
          <w:ilvl w:val="0"/>
          <w:numId w:val="22"/>
        </w:numPr>
        <w:spacing w:after="50" w:line="240" w:lineRule="atLeast"/>
        <w:ind w:left="425" w:hanging="425"/>
        <w:contextualSpacing/>
        <w:rPr>
          <w:sz w:val="20"/>
          <w:szCs w:val="20"/>
          <w:lang w:eastAsia="ko-KR"/>
        </w:rPr>
      </w:pPr>
      <w:r w:rsidRPr="00A87129">
        <w:rPr>
          <w:sz w:val="20"/>
          <w:szCs w:val="20"/>
          <w:lang w:eastAsia="ko-KR"/>
        </w:rPr>
        <w:t xml:space="preserve">Unit of </w:t>
      </w:r>
      <w:r w:rsidR="00222F15" w:rsidRPr="00A87129">
        <w:rPr>
          <w:sz w:val="20"/>
          <w:szCs w:val="20"/>
          <w:lang w:eastAsia="ko-KR"/>
        </w:rPr>
        <w:t>UE panel</w:t>
      </w:r>
      <w:r w:rsidRPr="00A87129">
        <w:rPr>
          <w:sz w:val="20"/>
          <w:szCs w:val="20"/>
          <w:lang w:eastAsia="ko-KR"/>
        </w:rPr>
        <w:t xml:space="preserve"> group to control transmit power</w:t>
      </w:r>
    </w:p>
    <w:p w14:paraId="759C5C3A" w14:textId="3612B6FC" w:rsidR="00317148" w:rsidRPr="00A87129" w:rsidRDefault="002058F0" w:rsidP="00D7593B">
      <w:pPr>
        <w:spacing w:afterLines="50" w:line="240" w:lineRule="atLeast"/>
        <w:contextualSpacing/>
        <w:rPr>
          <w:rFonts w:asciiTheme="minorHAnsi" w:hAnsiTheme="minorHAnsi" w:cstheme="minorHAnsi"/>
          <w:sz w:val="20"/>
          <w:szCs w:val="20"/>
          <w:lang w:eastAsia="ko-KR"/>
        </w:rPr>
      </w:pPr>
      <w:r>
        <w:rPr>
          <w:rFonts w:asciiTheme="minorHAnsi" w:hAnsiTheme="minorHAnsi" w:cstheme="minorHAnsi"/>
          <w:sz w:val="20"/>
          <w:szCs w:val="20"/>
          <w:lang w:eastAsia="ko-KR"/>
        </w:rPr>
        <w:t>*</w:t>
      </w:r>
      <w:r w:rsidR="00317148" w:rsidRPr="00A87129">
        <w:rPr>
          <w:rFonts w:asciiTheme="minorHAnsi" w:hAnsiTheme="minorHAnsi" w:cstheme="minorHAnsi"/>
          <w:sz w:val="20"/>
          <w:szCs w:val="20"/>
          <w:lang w:eastAsia="ko-KR"/>
        </w:rPr>
        <w:t>Partly defined in TS</w:t>
      </w:r>
      <w:r w:rsidR="00A87129" w:rsidRPr="00A87129">
        <w:rPr>
          <w:rFonts w:asciiTheme="minorHAnsi" w:hAnsiTheme="minorHAnsi" w:cstheme="minorHAnsi"/>
          <w:sz w:val="20"/>
          <w:szCs w:val="20"/>
          <w:lang w:eastAsia="ko-KR"/>
        </w:rPr>
        <w:t xml:space="preserve"> </w:t>
      </w:r>
      <w:r w:rsidR="00317148" w:rsidRPr="00A87129">
        <w:rPr>
          <w:rFonts w:asciiTheme="minorHAnsi" w:hAnsiTheme="minorHAnsi" w:cstheme="minorHAnsi"/>
          <w:sz w:val="20"/>
          <w:szCs w:val="20"/>
          <w:lang w:eastAsia="ko-KR"/>
        </w:rPr>
        <w:t xml:space="preserve">38.214, </w:t>
      </w:r>
      <w:r w:rsidR="00A87129" w:rsidRPr="00A87129">
        <w:rPr>
          <w:rFonts w:asciiTheme="minorHAnsi" w:hAnsiTheme="minorHAnsi" w:cstheme="minorHAnsi"/>
          <w:sz w:val="20"/>
          <w:szCs w:val="20"/>
          <w:lang w:eastAsia="ko-KR"/>
        </w:rPr>
        <w:t xml:space="preserve">section </w:t>
      </w:r>
      <w:r w:rsidR="00317148" w:rsidRPr="00A87129">
        <w:rPr>
          <w:rFonts w:asciiTheme="minorHAnsi" w:hAnsiTheme="minorHAnsi" w:cstheme="minorHAnsi"/>
          <w:sz w:val="20"/>
          <w:szCs w:val="20"/>
          <w:lang w:eastAsia="ko-KR"/>
        </w:rPr>
        <w:t>6.2.6.2.</w:t>
      </w:r>
    </w:p>
    <w:p w14:paraId="0A8B00F4" w14:textId="598F47D3" w:rsidR="00317148" w:rsidRPr="00245463" w:rsidRDefault="00097E22" w:rsidP="00317148">
      <w:pPr>
        <w:pStyle w:val="ListParagraph"/>
        <w:numPr>
          <w:ilvl w:val="0"/>
          <w:numId w:val="6"/>
        </w:numPr>
        <w:spacing w:after="80"/>
        <w:rPr>
          <w:rFonts w:ascii="Times New Roman" w:hAnsi="Times New Roman" w:cs="Times New Roman"/>
          <w:b/>
          <w:bCs/>
          <w:sz w:val="22"/>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317148" w:rsidRPr="00245463">
        <w:rPr>
          <w:rFonts w:ascii="Times New Roman" w:hAnsi="Times New Roman" w:cs="Times New Roman"/>
          <w:b/>
          <w:bCs/>
          <w:sz w:val="22"/>
          <w:szCs w:val="20"/>
        </w:rPr>
        <w:t xml:space="preserve">We suggest that definition of a </w:t>
      </w:r>
      <w:r w:rsidR="00222F15">
        <w:rPr>
          <w:rFonts w:ascii="Times New Roman" w:hAnsi="Times New Roman" w:cs="Times New Roman"/>
          <w:b/>
          <w:bCs/>
          <w:sz w:val="22"/>
          <w:szCs w:val="20"/>
        </w:rPr>
        <w:t>UE panel</w:t>
      </w:r>
      <w:r w:rsidR="00317148" w:rsidRPr="00245463">
        <w:rPr>
          <w:rFonts w:ascii="Times New Roman" w:hAnsi="Times New Roman" w:cs="Times New Roman"/>
          <w:b/>
          <w:bCs/>
          <w:sz w:val="22"/>
          <w:szCs w:val="20"/>
        </w:rPr>
        <w:t xml:space="preserve"> and the related properties are addressed prior to further advancing discussions related to UE panel enhancements.</w:t>
      </w:r>
    </w:p>
    <w:p w14:paraId="34901D20" w14:textId="7219DD1A" w:rsidR="00064768" w:rsidRPr="00064768" w:rsidRDefault="00064768" w:rsidP="00064768">
      <w:pPr>
        <w:pStyle w:val="Heading2"/>
        <w:rPr>
          <w:sz w:val="22"/>
          <w:lang w:eastAsia="ja-JP"/>
        </w:rPr>
      </w:pPr>
      <w:r>
        <w:rPr>
          <w:sz w:val="22"/>
          <w:lang w:eastAsia="ja-JP"/>
        </w:rPr>
        <w:t>Analog</w:t>
      </w:r>
      <w:r w:rsidRPr="00064768">
        <w:rPr>
          <w:sz w:val="22"/>
          <w:lang w:eastAsia="ja-JP"/>
        </w:rPr>
        <w:t xml:space="preserve"> </w:t>
      </w:r>
      <w:r>
        <w:rPr>
          <w:sz w:val="22"/>
          <w:lang w:eastAsia="ja-JP"/>
        </w:rPr>
        <w:t xml:space="preserve">beam </w:t>
      </w:r>
      <w:r w:rsidRPr="00064768">
        <w:rPr>
          <w:sz w:val="22"/>
          <w:lang w:eastAsia="ja-JP"/>
        </w:rPr>
        <w:t>definition</w:t>
      </w:r>
    </w:p>
    <w:p w14:paraId="782C7E67" w14:textId="376F87C4" w:rsidR="00D855B9" w:rsidRPr="006E6D6E" w:rsidRDefault="001B6AC0" w:rsidP="00A97978">
      <w:pPr>
        <w:spacing w:before="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Default="00097E22" w:rsidP="00D855B9">
      <w:pPr>
        <w:pStyle w:val="ListParagraph"/>
        <w:numPr>
          <w:ilvl w:val="0"/>
          <w:numId w:val="6"/>
        </w:numPr>
        <w:spacing w:after="80"/>
        <w:rPr>
          <w:sz w:val="20"/>
          <w:szCs w:val="20"/>
        </w:rPr>
      </w:pPr>
      <w:r w:rsidRPr="00097E22">
        <w:rPr>
          <w:rFonts w:ascii="Times New Roman" w:hAnsi="Times New Roman" w:cs="Times New Roman"/>
          <w:b/>
          <w:bCs/>
          <w:sz w:val="22"/>
          <w:szCs w:val="20"/>
        </w:rPr>
        <w:t>:</w:t>
      </w:r>
      <w:r w:rsidR="00D855B9" w:rsidRPr="00097E22">
        <w:rPr>
          <w:rFonts w:ascii="Times New Roman" w:hAnsi="Times New Roman" w:cs="Times New Roman"/>
          <w:b/>
          <w:bCs/>
          <w:sz w:val="20"/>
          <w:szCs w:val="20"/>
        </w:rPr>
        <w:t xml:space="preserve"> </w:t>
      </w:r>
      <w:r w:rsidR="0042527F">
        <w:rPr>
          <w:rFonts w:ascii="Times New Roman" w:hAnsi="Times New Roman" w:cs="Times New Roman"/>
          <w:b/>
          <w:sz w:val="22"/>
          <w:szCs w:val="22"/>
        </w:rPr>
        <w:t>A beam can be</w:t>
      </w:r>
      <w:r w:rsidR="00A97978">
        <w:rPr>
          <w:rFonts w:ascii="Times New Roman" w:hAnsi="Times New Roman" w:cs="Times New Roman"/>
          <w:b/>
          <w:sz w:val="22"/>
          <w:szCs w:val="22"/>
        </w:rPr>
        <w:t xml:space="preserve"> defined as </w:t>
      </w:r>
      <w:r w:rsidR="00D855B9" w:rsidRPr="006E6D6E">
        <w:rPr>
          <w:rFonts w:ascii="Times New Roman" w:hAnsi="Times New Roman" w:cs="Times New Roman"/>
          <w:b/>
          <w:sz w:val="22"/>
          <w:szCs w:val="22"/>
        </w:rPr>
        <w:t>a spatial filtering associated with one or two antenna ports carrying one or two layers separated in the polarization domain.</w:t>
      </w:r>
    </w:p>
    <w:p w14:paraId="2B8A6251" w14:textId="18A22B7C" w:rsidR="00064768" w:rsidRDefault="00A97978" w:rsidP="0006476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addition it was also agree to further study whether there is an advantage 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r w:rsidR="0042527F">
        <w:rPr>
          <w:sz w:val="20"/>
          <w:lang w:eastAsia="zh-CN"/>
        </w:rPr>
        <w:t>Hence we have following</w:t>
      </w:r>
    </w:p>
    <w:p w14:paraId="76EA7D30" w14:textId="00CB02FD" w:rsidR="00064768" w:rsidRPr="001A4E41" w:rsidRDefault="00097E22" w:rsidP="00064768">
      <w:pPr>
        <w:pStyle w:val="ListParagraph"/>
        <w:numPr>
          <w:ilvl w:val="0"/>
          <w:numId w:val="6"/>
        </w:numPr>
        <w:spacing w:after="80"/>
        <w:rPr>
          <w:rFonts w:ascii="Times New Roman" w:hAnsi="Times New Roman" w:cs="Times New Roman"/>
          <w:b/>
          <w:sz w:val="22"/>
          <w:szCs w:val="22"/>
        </w:rPr>
      </w:pPr>
      <w:r>
        <w:rPr>
          <w:rFonts w:ascii="Times New Roman" w:hAnsi="Times New Roman" w:cs="Times New Roman"/>
          <w:b/>
          <w:sz w:val="22"/>
          <w:szCs w:val="22"/>
        </w:rPr>
        <w:t>:</w:t>
      </w:r>
      <w:r w:rsidR="00064768">
        <w:rPr>
          <w:rFonts w:ascii="Times New Roman" w:hAnsi="Times New Roman" w:cs="Times New Roman"/>
          <w:b/>
          <w:sz w:val="22"/>
          <w:szCs w:val="22"/>
        </w:rPr>
        <w:t xml:space="preserve"> </w:t>
      </w:r>
      <w:r w:rsidR="00064768" w:rsidRPr="00556B33">
        <w:rPr>
          <w:rFonts w:ascii="Times New Roman" w:hAnsi="Times New Roman" w:cs="Times New Roman"/>
          <w:b/>
          <w:sz w:val="22"/>
          <w:szCs w:val="22"/>
        </w:rPr>
        <w:t xml:space="preserve">RAN1 needs to study and specify (if necessary) whether </w:t>
      </w:r>
      <w:r w:rsidR="006D3339">
        <w:rPr>
          <w:rFonts w:ascii="Times New Roman" w:hAnsi="Times New Roman" w:cs="Times New Roman"/>
          <w:b/>
          <w:sz w:val="22"/>
          <w:szCs w:val="22"/>
        </w:rPr>
        <w:t xml:space="preserve">additional signaling is necessary when </w:t>
      </w:r>
      <w:r w:rsidR="00064768" w:rsidRPr="00556B33">
        <w:rPr>
          <w:rFonts w:ascii="Times New Roman" w:hAnsi="Times New Roman" w:cs="Times New Roman"/>
          <w:b/>
          <w:sz w:val="22"/>
          <w:szCs w:val="22"/>
        </w:rPr>
        <w:t xml:space="preserve">a </w:t>
      </w:r>
      <w:r w:rsidR="00064768" w:rsidRPr="00556B33">
        <w:rPr>
          <w:rFonts w:ascii="Times New Roman" w:hAnsi="Times New Roman" w:cs="Times New Roman"/>
          <w:b/>
          <w:color w:val="000000" w:themeColor="text1"/>
          <w:sz w:val="22"/>
          <w:szCs w:val="20"/>
        </w:rPr>
        <w:t>beam can suppo</w:t>
      </w:r>
      <w:r w:rsidR="006D3339">
        <w:rPr>
          <w:rFonts w:ascii="Times New Roman" w:hAnsi="Times New Roman" w:cs="Times New Roman"/>
          <w:b/>
          <w:color w:val="000000" w:themeColor="text1"/>
          <w:sz w:val="22"/>
          <w:szCs w:val="20"/>
        </w:rPr>
        <w:t>rt up to two independent layers</w:t>
      </w:r>
      <w:r w:rsidR="00064768" w:rsidRPr="00556B33">
        <w:rPr>
          <w:rFonts w:ascii="Times New Roman" w:hAnsi="Times New Roman" w:cs="Times New Roman"/>
          <w:b/>
          <w:color w:val="000000" w:themeColor="text1"/>
          <w:sz w:val="22"/>
          <w:szCs w:val="20"/>
        </w:rPr>
        <w:t xml:space="preserve"> separated by polarization.</w:t>
      </w:r>
    </w:p>
    <w:p w14:paraId="053C3A7B" w14:textId="7509B090"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14F7CF8B"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C56E6D9" w14:textId="77777777" w:rsidR="002008DE" w:rsidRPr="00556B33" w:rsidRDefault="002008DE" w:rsidP="002008DE">
      <w:pPr>
        <w:pStyle w:val="ListParagraph"/>
        <w:numPr>
          <w:ilvl w:val="0"/>
          <w:numId w:val="25"/>
        </w:numPr>
        <w:spacing w:after="80"/>
        <w:rPr>
          <w:sz w:val="22"/>
          <w:szCs w:val="24"/>
        </w:rPr>
      </w:pPr>
      <w:r>
        <w:rPr>
          <w:rFonts w:ascii="Times New Roman" w:hAnsi="Times New Roman" w:cs="Times New Roman"/>
          <w:b/>
          <w:sz w:val="22"/>
          <w:szCs w:val="24"/>
        </w:rPr>
        <w:t xml:space="preserve">: </w:t>
      </w:r>
      <w:r w:rsidRPr="00556B33">
        <w:rPr>
          <w:rFonts w:ascii="Times New Roman" w:hAnsi="Times New Roman" w:cs="Times New Roman"/>
          <w:b/>
          <w:sz w:val="22"/>
          <w:szCs w:val="24"/>
        </w:rPr>
        <w:t>Study and specify (if necessary) the L1/L2-centric approach of both DL and UL beam management considering the use cases of inter-cell mobility</w:t>
      </w:r>
    </w:p>
    <w:p w14:paraId="5CE30CBD" w14:textId="77777777" w:rsidR="002008DE" w:rsidRPr="00556B33" w:rsidRDefault="002008DE" w:rsidP="002008DE">
      <w:pPr>
        <w:pStyle w:val="ListParagraph"/>
        <w:numPr>
          <w:ilvl w:val="0"/>
          <w:numId w:val="8"/>
        </w:numPr>
        <w:spacing w:after="80"/>
        <w:ind w:left="924" w:hanging="357"/>
        <w:rPr>
          <w:sz w:val="22"/>
          <w:szCs w:val="24"/>
        </w:rPr>
      </w:pPr>
      <w:r w:rsidRPr="00556B33">
        <w:rPr>
          <w:rFonts w:ascii="Times New Roman" w:hAnsi="Times New Roman" w:cs="Times New Roman"/>
          <w:b/>
          <w:sz w:val="22"/>
          <w:szCs w:val="24"/>
        </w:rPr>
        <w:t>Incorporate PCI into TCI state for DL beam management</w:t>
      </w:r>
    </w:p>
    <w:p w14:paraId="0D6C9CE2" w14:textId="77777777" w:rsidR="002008DE" w:rsidRPr="00556B33" w:rsidRDefault="002008DE" w:rsidP="002008DE">
      <w:pPr>
        <w:pStyle w:val="ListParagraph"/>
        <w:numPr>
          <w:ilvl w:val="0"/>
          <w:numId w:val="8"/>
        </w:numPr>
        <w:spacing w:after="80"/>
        <w:ind w:left="924" w:hanging="357"/>
        <w:rPr>
          <w:sz w:val="22"/>
          <w:szCs w:val="24"/>
        </w:rPr>
      </w:pPr>
      <w:r w:rsidRPr="00556B33">
        <w:rPr>
          <w:rFonts w:ascii="Times New Roman" w:hAnsi="Times New Roman" w:cs="Times New Roman"/>
          <w:b/>
          <w:sz w:val="22"/>
          <w:szCs w:val="24"/>
        </w:rPr>
        <w:t>Incorporate PCI into Spatial Relation for UL beam management</w:t>
      </w:r>
    </w:p>
    <w:p w14:paraId="76F7078A" w14:textId="77777777" w:rsidR="002008DE" w:rsidRPr="0080763B" w:rsidRDefault="002008DE" w:rsidP="002008DE">
      <w:pPr>
        <w:pStyle w:val="ListParagraph"/>
        <w:numPr>
          <w:ilvl w:val="0"/>
          <w:numId w:val="25"/>
        </w:numPr>
        <w:spacing w:after="80"/>
        <w:rPr>
          <w:sz w:val="22"/>
          <w:szCs w:val="22"/>
        </w:rPr>
      </w:pPr>
      <w:r>
        <w:rPr>
          <w:rFonts w:ascii="Times New Roman" w:hAnsi="Times New Roman" w:cs="Times New Roman"/>
          <w:b/>
          <w:bCs/>
          <w:sz w:val="22"/>
          <w:szCs w:val="22"/>
        </w:rPr>
        <w:t xml:space="preserve">: Specify the QCL assumption among SSB/CSI-RS resource sets on different BWPs/CCs (intra band). </w:t>
      </w:r>
    </w:p>
    <w:p w14:paraId="01E1C684" w14:textId="320CB614" w:rsidR="002008DE" w:rsidRPr="002008DE" w:rsidRDefault="002008DE" w:rsidP="00531840">
      <w:pPr>
        <w:pStyle w:val="ListParagraph"/>
        <w:numPr>
          <w:ilvl w:val="0"/>
          <w:numId w:val="25"/>
        </w:numPr>
        <w:spacing w:after="80"/>
        <w:rPr>
          <w:sz w:val="22"/>
          <w:szCs w:val="22"/>
        </w:rPr>
      </w:pPr>
      <w:r>
        <w:rPr>
          <w:rFonts w:ascii="Times New Roman" w:hAnsi="Times New Roman" w:cs="Times New Roman"/>
          <w:b/>
          <w:sz w:val="22"/>
          <w:szCs w:val="22"/>
        </w:rPr>
        <w:t xml:space="preserve">: </w:t>
      </w:r>
      <w:r w:rsidRPr="00C80538">
        <w:rPr>
          <w:rFonts w:ascii="Times New Roman" w:hAnsi="Times New Roman" w:cs="Times New Roman"/>
          <w:b/>
          <w:sz w:val="22"/>
          <w:szCs w:val="22"/>
        </w:rPr>
        <w:t>For inter-band CCs, a common beam management procedure, including TCI states across bands, should be considered for data/control, DL/UL, multiple BWPs, multiple TRPs and multiple UE panels</w:t>
      </w:r>
      <w:r w:rsidRPr="00C80538">
        <w:rPr>
          <w:rFonts w:ascii="Times New Roman" w:hAnsi="Times New Roman" w:cs="Times New Roman"/>
          <w:b/>
          <w:bCs/>
          <w:sz w:val="22"/>
          <w:szCs w:val="22"/>
        </w:rPr>
        <w:t xml:space="preserve">. </w:t>
      </w:r>
    </w:p>
    <w:p w14:paraId="6B4F6175" w14:textId="77777777" w:rsidR="002008DE" w:rsidRPr="00C80538" w:rsidRDefault="002008DE" w:rsidP="002008DE">
      <w:pPr>
        <w:pStyle w:val="ListParagraph"/>
        <w:numPr>
          <w:ilvl w:val="0"/>
          <w:numId w:val="25"/>
        </w:numPr>
        <w:spacing w:after="120"/>
        <w:rPr>
          <w:sz w:val="22"/>
          <w:szCs w:val="20"/>
        </w:rPr>
      </w:pPr>
      <w:r>
        <w:rPr>
          <w:rFonts w:ascii="Times New Roman" w:hAnsi="Times New Roman" w:cs="Times New Roman"/>
          <w:b/>
          <w:sz w:val="22"/>
          <w:szCs w:val="20"/>
        </w:rPr>
        <w:t xml:space="preserve">: </w:t>
      </w:r>
      <w:r w:rsidRPr="00C80538">
        <w:rPr>
          <w:rFonts w:ascii="Times New Roman" w:hAnsi="Times New Roman" w:cs="Times New Roman"/>
          <w:b/>
          <w:sz w:val="22"/>
          <w:szCs w:val="20"/>
        </w:rPr>
        <w:t>The reporting of UE capabilities related to the ability of the UE to simultaneously steer in the same direction beams belonging to CCs in different bands should be considered.</w:t>
      </w:r>
    </w:p>
    <w:p w14:paraId="3501294D" w14:textId="77777777" w:rsidR="002008DE" w:rsidRPr="00C80538" w:rsidRDefault="002008DE" w:rsidP="002008DE">
      <w:pPr>
        <w:pStyle w:val="ListParagraph"/>
        <w:numPr>
          <w:ilvl w:val="0"/>
          <w:numId w:val="25"/>
        </w:numPr>
        <w:spacing w:after="40"/>
        <w:rPr>
          <w:sz w:val="22"/>
          <w:szCs w:val="20"/>
        </w:rPr>
      </w:pPr>
      <w:r>
        <w:rPr>
          <w:rFonts w:ascii="Times New Roman" w:hAnsi="Times New Roman" w:cs="Times New Roman"/>
          <w:b/>
          <w:sz w:val="22"/>
          <w:szCs w:val="20"/>
        </w:rPr>
        <w:t>:</w:t>
      </w:r>
      <w:r w:rsidRPr="00C80538">
        <w:rPr>
          <w:rFonts w:ascii="Times New Roman" w:hAnsi="Times New Roman" w:cs="Times New Roman"/>
          <w:b/>
          <w:sz w:val="22"/>
          <w:szCs w:val="20"/>
        </w:rPr>
        <w:t xml:space="preserve"> For the optimization of TCI states across bands, the polarization property of beams should be considered.</w:t>
      </w:r>
    </w:p>
    <w:p w14:paraId="1E6FED33" w14:textId="77777777" w:rsidR="002008DE" w:rsidRPr="00556B33" w:rsidRDefault="002008DE" w:rsidP="002008DE">
      <w:pPr>
        <w:pStyle w:val="ListParagraph"/>
        <w:numPr>
          <w:ilvl w:val="0"/>
          <w:numId w:val="25"/>
        </w:numPr>
        <w:spacing w:after="80"/>
        <w:rPr>
          <w:sz w:val="22"/>
          <w:szCs w:val="24"/>
        </w:rPr>
      </w:pPr>
      <w:r>
        <w:rPr>
          <w:rFonts w:ascii="Times New Roman" w:hAnsi="Times New Roman" w:cs="Times New Roman"/>
          <w:b/>
          <w:sz w:val="22"/>
          <w:szCs w:val="24"/>
        </w:rPr>
        <w:t xml:space="preserve">: </w:t>
      </w:r>
      <w:r w:rsidRPr="00556B33">
        <w:rPr>
          <w:rFonts w:ascii="Times New Roman" w:hAnsi="Times New Roman" w:cs="Times New Roman"/>
          <w:b/>
          <w:sz w:val="22"/>
          <w:szCs w:val="24"/>
        </w:rPr>
        <w:t>Study and specify (if necessary) a unified TCI state framework which can be applied to UL beam management in addition to DL beam management.</w:t>
      </w:r>
    </w:p>
    <w:p w14:paraId="52665902" w14:textId="77777777" w:rsidR="002008DE" w:rsidRPr="00556B33" w:rsidRDefault="002008DE" w:rsidP="002008DE">
      <w:pPr>
        <w:pStyle w:val="ListParagraph"/>
        <w:numPr>
          <w:ilvl w:val="0"/>
          <w:numId w:val="25"/>
        </w:numPr>
        <w:spacing w:after="8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Pr>
          <w:rFonts w:ascii="Times New Roman" w:hAnsi="Times New Roman" w:cs="Times New Roman"/>
          <w:b/>
          <w:sz w:val="22"/>
          <w:szCs w:val="22"/>
        </w:rPr>
        <w:t>An</w:t>
      </w:r>
      <w:r w:rsidRPr="00556B33">
        <w:rPr>
          <w:rFonts w:ascii="Times New Roman" w:hAnsi="Times New Roman" w:cs="Times New Roman"/>
          <w:b/>
          <w:sz w:val="22"/>
          <w:szCs w:val="22"/>
        </w:rPr>
        <w:t xml:space="preserve"> ID explicitly configured in </w:t>
      </w:r>
      <w:r w:rsidRPr="00556B33">
        <w:rPr>
          <w:rFonts w:ascii="Times New Roman" w:hAnsi="Times New Roman" w:cs="Times New Roman"/>
          <w:b/>
          <w:i/>
          <w:sz w:val="22"/>
          <w:szCs w:val="22"/>
        </w:rPr>
        <w:t>spatialRelationInfo</w:t>
      </w:r>
      <w:r w:rsidRPr="00556B33">
        <w:rPr>
          <w:rFonts w:ascii="Times New Roman" w:hAnsi="Times New Roman" w:cs="Times New Roman"/>
          <w:b/>
          <w:sz w:val="22"/>
          <w:szCs w:val="22"/>
        </w:rPr>
        <w:t xml:space="preserve"> can be used for UL panel-specific beam selection.</w:t>
      </w:r>
    </w:p>
    <w:p w14:paraId="0B9B5B7B" w14:textId="77777777" w:rsidR="002008DE" w:rsidRPr="00556B33" w:rsidRDefault="002008DE" w:rsidP="002008DE">
      <w:pPr>
        <w:pStyle w:val="ListParagraph"/>
        <w:numPr>
          <w:ilvl w:val="0"/>
          <w:numId w:val="25"/>
        </w:numPr>
        <w:spacing w:after="80"/>
        <w:rPr>
          <w:rFonts w:ascii="Times New Roman" w:hAnsi="Times New Roman" w:cs="Times New Roman"/>
          <w:b/>
          <w:sz w:val="22"/>
          <w:szCs w:val="22"/>
        </w:rPr>
      </w:pPr>
      <w:r>
        <w:rPr>
          <w:rFonts w:ascii="Times New Roman" w:hAnsi="Times New Roman" w:cs="Times New Roman"/>
          <w:b/>
          <w:sz w:val="22"/>
          <w:szCs w:val="22"/>
        </w:rPr>
        <w:t xml:space="preserve">: </w:t>
      </w:r>
      <w:r w:rsidRPr="00556B33">
        <w:rPr>
          <w:rFonts w:ascii="Times New Roman" w:hAnsi="Times New Roman" w:cs="Times New Roman"/>
          <w:b/>
          <w:sz w:val="22"/>
          <w:szCs w:val="22"/>
        </w:rPr>
        <w:t>Confirm the working assumption on explicit panel-specific indication on PUSCH/PUCCH/SRS and include PRACH with conditions FFS.</w:t>
      </w:r>
    </w:p>
    <w:p w14:paraId="49249D3B" w14:textId="77777777" w:rsidR="002008DE" w:rsidRPr="00BD5740" w:rsidRDefault="002008DE" w:rsidP="002008DE">
      <w:pPr>
        <w:pStyle w:val="ListParagraph"/>
        <w:numPr>
          <w:ilvl w:val="0"/>
          <w:numId w:val="25"/>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lastRenderedPageBreak/>
        <w:t xml:space="preserve">: </w:t>
      </w:r>
      <w:r w:rsidRPr="00BD5740">
        <w:rPr>
          <w:rFonts w:ascii="Times New Roman" w:hAnsi="Times New Roman" w:cs="Times New Roman"/>
          <w:b/>
          <w:color w:val="000000" w:themeColor="text1"/>
          <w:sz w:val="22"/>
          <w:szCs w:val="20"/>
        </w:rPr>
        <w:t>For UE supporting beam correspondence without UL beam sweeping, RAN1 should study and, if necessary, specify MPE-aware beam reporting.</w:t>
      </w:r>
    </w:p>
    <w:p w14:paraId="41519356" w14:textId="77777777" w:rsidR="002008DE" w:rsidRPr="00DF2D6F" w:rsidRDefault="002008DE" w:rsidP="002008DE">
      <w:pPr>
        <w:pStyle w:val="ListParagraph"/>
        <w:numPr>
          <w:ilvl w:val="0"/>
          <w:numId w:val="25"/>
        </w:numPr>
        <w:spacing w:after="80"/>
        <w:rPr>
          <w:rFonts w:ascii="Times New Roman" w:hAnsi="Times New Roman" w:cs="Times New Roman"/>
          <w:b/>
          <w:sz w:val="22"/>
          <w:szCs w:val="22"/>
        </w:rPr>
      </w:pPr>
      <w:r>
        <w:rPr>
          <w:rFonts w:ascii="Times New Roman" w:hAnsi="Times New Roman" w:cs="Times New Roman"/>
          <w:b/>
          <w:color w:val="000000" w:themeColor="text1"/>
          <w:sz w:val="22"/>
          <w:szCs w:val="20"/>
        </w:rPr>
        <w:t>: For UE supporting beam correspondence with the aid of UL beam sweeping, RAN1 specifies UE behavior on MPE-aware UL beam sweeping</w:t>
      </w:r>
      <w:r w:rsidRPr="00556B33">
        <w:rPr>
          <w:rFonts w:ascii="Times New Roman" w:hAnsi="Times New Roman" w:cs="Times New Roman"/>
          <w:b/>
          <w:color w:val="000000" w:themeColor="text1"/>
          <w:sz w:val="22"/>
          <w:szCs w:val="20"/>
        </w:rPr>
        <w:t>.</w:t>
      </w:r>
    </w:p>
    <w:p w14:paraId="75D16260" w14:textId="77777777" w:rsidR="002008DE" w:rsidRPr="00D93B95" w:rsidRDefault="002008DE" w:rsidP="002008DE">
      <w:pPr>
        <w:pStyle w:val="ListParagraph"/>
        <w:numPr>
          <w:ilvl w:val="0"/>
          <w:numId w:val="25"/>
        </w:numPr>
        <w:spacing w:after="120"/>
        <w:rPr>
          <w:rFonts w:ascii="Times New Roman" w:hAnsi="Times New Roman" w:cs="Times New Roman"/>
          <w:sz w:val="22"/>
          <w:szCs w:val="20"/>
        </w:rPr>
      </w:pPr>
      <w:r>
        <w:rPr>
          <w:rFonts w:ascii="Times New Roman" w:eastAsia="MS Gothic" w:hAnsi="Times New Roman" w:cs="Times New Roman"/>
          <w:b/>
          <w:bCs/>
          <w:sz w:val="22"/>
          <w:szCs w:val="20"/>
          <w:lang w:eastAsia="ja-JP"/>
        </w:rPr>
        <w:t>:</w:t>
      </w:r>
      <w:r w:rsidRPr="00D93B95">
        <w:rPr>
          <w:rFonts w:ascii="Times New Roman" w:eastAsia="MS Gothic" w:hAnsi="Times New Roman" w:cs="Times New Roman"/>
          <w:b/>
          <w:bCs/>
          <w:sz w:val="22"/>
          <w:szCs w:val="20"/>
          <w:lang w:eastAsia="ja-JP"/>
        </w:rPr>
        <w:t xml:space="preserve"> Associate the P-MPR values with the spatial relation for UL transmission to mitigate the coverage loss due to the MPE. </w:t>
      </w:r>
    </w:p>
    <w:p w14:paraId="5FB9FA6A" w14:textId="77777777" w:rsidR="002008DE" w:rsidRPr="00227875" w:rsidRDefault="002008DE" w:rsidP="002008DE">
      <w:pPr>
        <w:pStyle w:val="ListParagraph"/>
        <w:numPr>
          <w:ilvl w:val="0"/>
          <w:numId w:val="25"/>
        </w:numPr>
        <w:spacing w:after="120"/>
        <w:jc w:val="left"/>
        <w:rPr>
          <w:rFonts w:ascii="Times New Roman" w:hAnsi="Times New Roman" w:cs="Times New Roman"/>
          <w:sz w:val="28"/>
          <w:szCs w:val="24"/>
        </w:rPr>
      </w:pPr>
      <w:r>
        <w:rPr>
          <w:rFonts w:ascii="Times New Roman" w:hAnsi="Times New Roman" w:cs="Times New Roman"/>
          <w:b/>
          <w:bCs/>
          <w:sz w:val="22"/>
          <w:lang w:val="en-GB"/>
        </w:rPr>
        <w:t>:</w:t>
      </w:r>
      <w:r w:rsidRPr="00227875">
        <w:rPr>
          <w:rFonts w:ascii="Times New Roman" w:hAnsi="Times New Roman" w:cs="Times New Roman"/>
          <w:b/>
          <w:bCs/>
          <w:sz w:val="22"/>
          <w:lang w:val="en-GB"/>
        </w:rPr>
        <w:t xml:space="preserve"> Introducing a panel-speci</w:t>
      </w:r>
      <w:r>
        <w:rPr>
          <w:rFonts w:ascii="Times New Roman" w:hAnsi="Times New Roman" w:cs="Times New Roman"/>
          <w:b/>
          <w:bCs/>
          <w:sz w:val="22"/>
          <w:lang w:val="en-GB"/>
        </w:rPr>
        <w:t xml:space="preserve">fic P-MPR associated to a panel </w:t>
      </w:r>
      <w:r w:rsidRPr="00227875">
        <w:rPr>
          <w:rFonts w:ascii="Times New Roman" w:hAnsi="Times New Roman" w:cs="Times New Roman"/>
          <w:b/>
          <w:bCs/>
          <w:sz w:val="22"/>
          <w:lang w:val="en-GB"/>
        </w:rPr>
        <w:t>ID.</w:t>
      </w:r>
      <w:r w:rsidRPr="00227875">
        <w:rPr>
          <w:rFonts w:ascii="Times New Roman" w:hAnsi="Times New Roman" w:cs="Times New Roman"/>
          <w:sz w:val="28"/>
          <w:szCs w:val="24"/>
        </w:rPr>
        <w:t xml:space="preserve"> </w:t>
      </w:r>
    </w:p>
    <w:p w14:paraId="3853F81D" w14:textId="77777777" w:rsidR="002008DE" w:rsidRPr="00401F3B" w:rsidRDefault="002008DE" w:rsidP="002008DE">
      <w:pPr>
        <w:pStyle w:val="ListParagraph"/>
        <w:numPr>
          <w:ilvl w:val="0"/>
          <w:numId w:val="25"/>
        </w:numPr>
        <w:spacing w:after="12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Pr="00D017D3">
        <w:rPr>
          <w:rFonts w:ascii="Times New Roman" w:hAnsi="Times New Roman" w:cs="Times New Roman"/>
          <w:b/>
          <w:color w:val="000000" w:themeColor="text1"/>
          <w:sz w:val="22"/>
          <w:szCs w:val="20"/>
        </w:rPr>
        <w:t>To avoid UL MPE issue, it would be beneficial for RAN1 to study and, if necessary, specify the mechanism of UE</w:t>
      </w:r>
      <w:r>
        <w:rPr>
          <w:rFonts w:ascii="Times New Roman" w:hAnsi="Times New Roman" w:cs="Times New Roman"/>
          <w:b/>
          <w:color w:val="000000" w:themeColor="text1"/>
          <w:sz w:val="22"/>
          <w:szCs w:val="20"/>
        </w:rPr>
        <w:t xml:space="preserve"> triggered UL beam/panel switch.</w:t>
      </w:r>
    </w:p>
    <w:p w14:paraId="3B03369F" w14:textId="77777777" w:rsidR="002008DE" w:rsidRPr="00245463" w:rsidRDefault="002008DE" w:rsidP="002008DE">
      <w:pPr>
        <w:pStyle w:val="ListParagraph"/>
        <w:numPr>
          <w:ilvl w:val="0"/>
          <w:numId w:val="25"/>
        </w:numPr>
        <w:spacing w:after="80"/>
        <w:rPr>
          <w:rFonts w:ascii="Times New Roman" w:hAnsi="Times New Roman" w:cs="Times New Roman"/>
          <w:b/>
          <w:bCs/>
          <w:sz w:val="22"/>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Pr="00245463">
        <w:rPr>
          <w:rFonts w:ascii="Times New Roman" w:hAnsi="Times New Roman" w:cs="Times New Roman"/>
          <w:b/>
          <w:bCs/>
          <w:sz w:val="22"/>
          <w:szCs w:val="20"/>
        </w:rPr>
        <w:t xml:space="preserve">We suggest that definition of a </w:t>
      </w:r>
      <w:r>
        <w:rPr>
          <w:rFonts w:ascii="Times New Roman" w:hAnsi="Times New Roman" w:cs="Times New Roman"/>
          <w:b/>
          <w:bCs/>
          <w:sz w:val="22"/>
          <w:szCs w:val="20"/>
        </w:rPr>
        <w:t>UE panel</w:t>
      </w:r>
      <w:r w:rsidRPr="00245463">
        <w:rPr>
          <w:rFonts w:ascii="Times New Roman" w:hAnsi="Times New Roman" w:cs="Times New Roman"/>
          <w:b/>
          <w:bCs/>
          <w:sz w:val="22"/>
          <w:szCs w:val="20"/>
        </w:rPr>
        <w:t xml:space="preserve"> and the related properties are addressed prior to further advancing discussions related to UE panel enhancements.</w:t>
      </w:r>
    </w:p>
    <w:p w14:paraId="6565FD30" w14:textId="77777777" w:rsidR="002008DE" w:rsidRDefault="002008DE" w:rsidP="002008DE">
      <w:pPr>
        <w:pStyle w:val="ListParagraph"/>
        <w:numPr>
          <w:ilvl w:val="0"/>
          <w:numId w:val="25"/>
        </w:numPr>
        <w:spacing w:after="80"/>
        <w:rPr>
          <w:sz w:val="20"/>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Pr>
          <w:rFonts w:ascii="Times New Roman" w:hAnsi="Times New Roman" w:cs="Times New Roman"/>
          <w:b/>
          <w:sz w:val="22"/>
          <w:szCs w:val="22"/>
        </w:rPr>
        <w:t xml:space="preserve">A beam can be defined as </w:t>
      </w:r>
      <w:r w:rsidRPr="006E6D6E">
        <w:rPr>
          <w:rFonts w:ascii="Times New Roman" w:hAnsi="Times New Roman" w:cs="Times New Roman"/>
          <w:b/>
          <w:sz w:val="22"/>
          <w:szCs w:val="22"/>
        </w:rPr>
        <w:t>a spatial filtering associated with one or two antenna ports carrying one or two layers separated in the polarization domain.</w:t>
      </w:r>
    </w:p>
    <w:p w14:paraId="2CB1DFE1" w14:textId="7DE46BD5" w:rsidR="002008DE" w:rsidRPr="002008DE" w:rsidRDefault="002008DE" w:rsidP="002008DE">
      <w:pPr>
        <w:pStyle w:val="ListParagraph"/>
        <w:numPr>
          <w:ilvl w:val="0"/>
          <w:numId w:val="25"/>
        </w:numPr>
        <w:spacing w:after="80"/>
        <w:rPr>
          <w:rFonts w:ascii="Times New Roman" w:hAnsi="Times New Roman" w:cs="Times New Roman"/>
          <w:b/>
          <w:sz w:val="22"/>
          <w:szCs w:val="22"/>
        </w:rPr>
      </w:pPr>
      <w:r>
        <w:rPr>
          <w:rFonts w:ascii="Times New Roman" w:hAnsi="Times New Roman" w:cs="Times New Roman"/>
          <w:b/>
          <w:sz w:val="22"/>
          <w:szCs w:val="22"/>
        </w:rPr>
        <w:t xml:space="preserve">: </w:t>
      </w:r>
      <w:r w:rsidRPr="00556B33">
        <w:rPr>
          <w:rFonts w:ascii="Times New Roman" w:hAnsi="Times New Roman" w:cs="Times New Roman"/>
          <w:b/>
          <w:sz w:val="22"/>
          <w:szCs w:val="22"/>
        </w:rPr>
        <w:t xml:space="preserve">RAN1 needs to study and specify (if necessary) whether </w:t>
      </w:r>
      <w:r>
        <w:rPr>
          <w:rFonts w:ascii="Times New Roman" w:hAnsi="Times New Roman" w:cs="Times New Roman"/>
          <w:b/>
          <w:sz w:val="22"/>
          <w:szCs w:val="22"/>
        </w:rPr>
        <w:t xml:space="preserve">additional signaling is necessary when </w:t>
      </w:r>
      <w:r w:rsidRPr="00556B33">
        <w:rPr>
          <w:rFonts w:ascii="Times New Roman" w:hAnsi="Times New Roman" w:cs="Times New Roman"/>
          <w:b/>
          <w:sz w:val="22"/>
          <w:szCs w:val="22"/>
        </w:rPr>
        <w:t xml:space="preserve">a </w:t>
      </w:r>
      <w:r w:rsidRPr="00556B33">
        <w:rPr>
          <w:rFonts w:ascii="Times New Roman" w:hAnsi="Times New Roman" w:cs="Times New Roman"/>
          <w:b/>
          <w:color w:val="000000" w:themeColor="text1"/>
          <w:sz w:val="22"/>
          <w:szCs w:val="20"/>
        </w:rPr>
        <w:t>beam can suppo</w:t>
      </w:r>
      <w:r>
        <w:rPr>
          <w:rFonts w:ascii="Times New Roman" w:hAnsi="Times New Roman" w:cs="Times New Roman"/>
          <w:b/>
          <w:color w:val="000000" w:themeColor="text1"/>
          <w:sz w:val="22"/>
          <w:szCs w:val="20"/>
        </w:rPr>
        <w:t>rt up to two independent layers</w:t>
      </w:r>
      <w:r w:rsidRPr="00556B33">
        <w:rPr>
          <w:rFonts w:ascii="Times New Roman" w:hAnsi="Times New Roman" w:cs="Times New Roman"/>
          <w:b/>
          <w:color w:val="000000" w:themeColor="text1"/>
          <w:sz w:val="22"/>
          <w:szCs w:val="20"/>
        </w:rPr>
        <w:t xml:space="preserve"> separated by polarization.</w:t>
      </w:r>
      <w:bookmarkStart w:id="9" w:name="_GoBack"/>
      <w:bookmarkEnd w:id="9"/>
    </w:p>
    <w:p w14:paraId="1A7ED4E3" w14:textId="7A89C3D2" w:rsidR="002348EF" w:rsidRDefault="002348EF" w:rsidP="002348EF">
      <w:pPr>
        <w:pStyle w:val="Heading1"/>
        <w:spacing w:after="80"/>
        <w:jc w:val="left"/>
        <w:rPr>
          <w:sz w:val="24"/>
          <w:lang w:eastAsia="zh-CN"/>
        </w:rPr>
      </w:pPr>
      <w:r>
        <w:rPr>
          <w:sz w:val="24"/>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10"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10"/>
    </w:p>
    <w:p w14:paraId="413EB9DE" w14:textId="1F017215" w:rsidR="002F1E28" w:rsidRPr="00B01F4C" w:rsidRDefault="002F1E28" w:rsidP="002F1E28">
      <w:pPr>
        <w:pStyle w:val="ListParagraph"/>
        <w:numPr>
          <w:ilvl w:val="0"/>
          <w:numId w:val="9"/>
        </w:numPr>
        <w:ind w:left="426" w:hanging="426"/>
        <w:rPr>
          <w:rFonts w:ascii="Times New Roman" w:hAnsi="Times New Roman" w:cs="Times New Roman"/>
        </w:rPr>
      </w:pPr>
      <w:r w:rsidRPr="002F1E28">
        <w:rPr>
          <w:rFonts w:ascii="Times New Roman" w:hAnsi="Times New Roman" w:cs="Times New Roman"/>
        </w:rPr>
        <w:tab/>
      </w:r>
      <w:bookmarkStart w:id="11" w:name="_Ref47596349"/>
      <w:r w:rsidRPr="002F1E28">
        <w:rPr>
          <w:rFonts w:ascii="Times New Roman" w:hAnsi="Times New Roman" w:cs="Times New Roman"/>
        </w:rPr>
        <w:t>B. Xu, K. Zhao, Z. Ying, D. Sjöberg, W. He and S. He, "Analysis of Impacts of Expected RF EMF Exposure Restrictions on Peak EIRP of 5G User Equipment at 28 GHz and 39 GHz Bands," in IEEE Access, vol. 7, pp. 20996-21005, 2019.</w:t>
      </w:r>
      <w:bookmarkEnd w:id="11"/>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0584B" w14:textId="77777777" w:rsidR="00F85BA2" w:rsidRDefault="00F85BA2">
      <w:r>
        <w:separator/>
      </w:r>
    </w:p>
  </w:endnote>
  <w:endnote w:type="continuationSeparator" w:id="0">
    <w:p w14:paraId="347E853A" w14:textId="77777777" w:rsidR="00F85BA2" w:rsidRDefault="00F8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C1938" w14:textId="77777777" w:rsidR="00F85BA2" w:rsidRDefault="00F85BA2">
      <w:r>
        <w:separator/>
      </w:r>
    </w:p>
  </w:footnote>
  <w:footnote w:type="continuationSeparator" w:id="0">
    <w:p w14:paraId="205993BA" w14:textId="77777777" w:rsidR="00F85BA2" w:rsidRDefault="00F85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23A"/>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403EA"/>
    <w:multiLevelType w:val="hybridMultilevel"/>
    <w:tmpl w:val="40463E8A"/>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B557C1"/>
    <w:multiLevelType w:val="multilevel"/>
    <w:tmpl w:val="39F826A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2B3F28"/>
    <w:multiLevelType w:val="hybridMultilevel"/>
    <w:tmpl w:val="5760669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7"/>
  </w:num>
  <w:num w:numId="2">
    <w:abstractNumId w:val="6"/>
  </w:num>
  <w:num w:numId="3">
    <w:abstractNumId w:val="18"/>
  </w:num>
  <w:num w:numId="4">
    <w:abstractNumId w:val="10"/>
  </w:num>
  <w:num w:numId="5">
    <w:abstractNumId w:val="15"/>
  </w:num>
  <w:num w:numId="6">
    <w:abstractNumId w:val="4"/>
  </w:num>
  <w:num w:numId="7">
    <w:abstractNumId w:val="13"/>
  </w:num>
  <w:num w:numId="8">
    <w:abstractNumId w:val="8"/>
  </w:num>
  <w:num w:numId="9">
    <w:abstractNumId w:val="2"/>
  </w:num>
  <w:num w:numId="10">
    <w:abstractNumId w:val="9"/>
  </w:num>
  <w:num w:numId="11">
    <w:abstractNumId w:val="5"/>
  </w:num>
  <w:num w:numId="12">
    <w:abstractNumId w:val="11"/>
  </w:num>
  <w:num w:numId="13">
    <w:abstractNumId w:val="3"/>
  </w:num>
  <w:num w:numId="14">
    <w:abstractNumId w:val="17"/>
  </w:num>
  <w:num w:numId="15">
    <w:abstractNumId w:val="0"/>
  </w:num>
  <w:num w:numId="16">
    <w:abstractNumId w:val="1"/>
  </w:num>
  <w:num w:numId="17">
    <w:abstractNumId w:val="19"/>
  </w:num>
  <w:num w:numId="18">
    <w:abstractNumId w:val="4"/>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4"/>
  </w:num>
  <w:num w:numId="2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42E9"/>
    <w:rsid w:val="0001481B"/>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08D"/>
    <w:rsid w:val="00122457"/>
    <w:rsid w:val="00123538"/>
    <w:rsid w:val="001235B7"/>
    <w:rsid w:val="00124A01"/>
    <w:rsid w:val="00124D84"/>
    <w:rsid w:val="001250DD"/>
    <w:rsid w:val="00125660"/>
    <w:rsid w:val="00125733"/>
    <w:rsid w:val="00125B70"/>
    <w:rsid w:val="001263AA"/>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4E41"/>
    <w:rsid w:val="001A506E"/>
    <w:rsid w:val="001A5222"/>
    <w:rsid w:val="001A5531"/>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78C"/>
    <w:rsid w:val="00207C7C"/>
    <w:rsid w:val="00210647"/>
    <w:rsid w:val="00210860"/>
    <w:rsid w:val="00210B6A"/>
    <w:rsid w:val="002110E9"/>
    <w:rsid w:val="002111B9"/>
    <w:rsid w:val="002111C2"/>
    <w:rsid w:val="002118BA"/>
    <w:rsid w:val="00212109"/>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1480"/>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63F"/>
    <w:rsid w:val="002F0C28"/>
    <w:rsid w:val="002F13CA"/>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DC2"/>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062"/>
    <w:rsid w:val="0034638C"/>
    <w:rsid w:val="00346F7F"/>
    <w:rsid w:val="00347A77"/>
    <w:rsid w:val="00350108"/>
    <w:rsid w:val="0035018E"/>
    <w:rsid w:val="00350498"/>
    <w:rsid w:val="00350762"/>
    <w:rsid w:val="003507C4"/>
    <w:rsid w:val="003511A3"/>
    <w:rsid w:val="003519A1"/>
    <w:rsid w:val="00352480"/>
    <w:rsid w:val="003529BC"/>
    <w:rsid w:val="00352F3C"/>
    <w:rsid w:val="003530D2"/>
    <w:rsid w:val="0035331A"/>
    <w:rsid w:val="003534E1"/>
    <w:rsid w:val="003538E7"/>
    <w:rsid w:val="00353F27"/>
    <w:rsid w:val="00354004"/>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2EB"/>
    <w:rsid w:val="00376348"/>
    <w:rsid w:val="00376DB5"/>
    <w:rsid w:val="00376DF1"/>
    <w:rsid w:val="003770BB"/>
    <w:rsid w:val="0037771A"/>
    <w:rsid w:val="00377BAB"/>
    <w:rsid w:val="003802DC"/>
    <w:rsid w:val="0038076D"/>
    <w:rsid w:val="00380C40"/>
    <w:rsid w:val="00380DEA"/>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FE"/>
    <w:rsid w:val="00394A79"/>
    <w:rsid w:val="00394DE3"/>
    <w:rsid w:val="003967ED"/>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C48"/>
    <w:rsid w:val="003A2EC3"/>
    <w:rsid w:val="003A36F2"/>
    <w:rsid w:val="003A3BC7"/>
    <w:rsid w:val="003A3D39"/>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C7E"/>
    <w:rsid w:val="003B3575"/>
    <w:rsid w:val="003B3AEC"/>
    <w:rsid w:val="003B3CAE"/>
    <w:rsid w:val="003B4224"/>
    <w:rsid w:val="003B4530"/>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641"/>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86D"/>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C39"/>
    <w:rsid w:val="004752D3"/>
    <w:rsid w:val="004754E1"/>
    <w:rsid w:val="00475CE0"/>
    <w:rsid w:val="0047658C"/>
    <w:rsid w:val="00476827"/>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5D"/>
    <w:rsid w:val="00486D87"/>
    <w:rsid w:val="00487ACD"/>
    <w:rsid w:val="004902CB"/>
    <w:rsid w:val="004903DD"/>
    <w:rsid w:val="00491A0E"/>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A7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EF5"/>
    <w:rsid w:val="004E58E9"/>
    <w:rsid w:val="004E5EFC"/>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30157"/>
    <w:rsid w:val="00530423"/>
    <w:rsid w:val="00530D9C"/>
    <w:rsid w:val="00531840"/>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811"/>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DC7"/>
    <w:rsid w:val="00604E47"/>
    <w:rsid w:val="0060508A"/>
    <w:rsid w:val="00605441"/>
    <w:rsid w:val="0060690F"/>
    <w:rsid w:val="00606970"/>
    <w:rsid w:val="00606A20"/>
    <w:rsid w:val="00606B2B"/>
    <w:rsid w:val="00606EE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DCE"/>
    <w:rsid w:val="0063120A"/>
    <w:rsid w:val="0063150B"/>
    <w:rsid w:val="00631585"/>
    <w:rsid w:val="006315E2"/>
    <w:rsid w:val="00631708"/>
    <w:rsid w:val="006318C9"/>
    <w:rsid w:val="006320CC"/>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3E1D"/>
    <w:rsid w:val="0064467B"/>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77"/>
    <w:rsid w:val="006618CC"/>
    <w:rsid w:val="00661AAA"/>
    <w:rsid w:val="00662111"/>
    <w:rsid w:val="00662118"/>
    <w:rsid w:val="00662681"/>
    <w:rsid w:val="00662DF4"/>
    <w:rsid w:val="006638AD"/>
    <w:rsid w:val="00663DE4"/>
    <w:rsid w:val="00663ECA"/>
    <w:rsid w:val="0066609E"/>
    <w:rsid w:val="00667020"/>
    <w:rsid w:val="0066732C"/>
    <w:rsid w:val="006679F5"/>
    <w:rsid w:val="00667B77"/>
    <w:rsid w:val="00671026"/>
    <w:rsid w:val="0067143D"/>
    <w:rsid w:val="006716DA"/>
    <w:rsid w:val="00671965"/>
    <w:rsid w:val="00671E11"/>
    <w:rsid w:val="0067268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2"/>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93E"/>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B7E"/>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A5"/>
    <w:rsid w:val="006E5AC0"/>
    <w:rsid w:val="006E5ADC"/>
    <w:rsid w:val="006E5B94"/>
    <w:rsid w:val="006E5E19"/>
    <w:rsid w:val="006E61C3"/>
    <w:rsid w:val="006E696F"/>
    <w:rsid w:val="006E6D6E"/>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A7C"/>
    <w:rsid w:val="00784CDA"/>
    <w:rsid w:val="00784EED"/>
    <w:rsid w:val="00785900"/>
    <w:rsid w:val="00785CDD"/>
    <w:rsid w:val="007861DF"/>
    <w:rsid w:val="00786958"/>
    <w:rsid w:val="00786C49"/>
    <w:rsid w:val="00786E71"/>
    <w:rsid w:val="007875B2"/>
    <w:rsid w:val="00790726"/>
    <w:rsid w:val="007909F4"/>
    <w:rsid w:val="0079125D"/>
    <w:rsid w:val="0079162F"/>
    <w:rsid w:val="007917B9"/>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F52"/>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B92"/>
    <w:rsid w:val="00804D4C"/>
    <w:rsid w:val="00804E21"/>
    <w:rsid w:val="00805092"/>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16E"/>
    <w:rsid w:val="00823415"/>
    <w:rsid w:val="00824725"/>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184"/>
    <w:rsid w:val="008C682D"/>
    <w:rsid w:val="008C6D43"/>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E4A"/>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1C12"/>
    <w:rsid w:val="009A2510"/>
    <w:rsid w:val="009A286E"/>
    <w:rsid w:val="009A29F0"/>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E85"/>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A68"/>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17ED9"/>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A50"/>
    <w:rsid w:val="00A90E4F"/>
    <w:rsid w:val="00A90E72"/>
    <w:rsid w:val="00A9151A"/>
    <w:rsid w:val="00A922A2"/>
    <w:rsid w:val="00A9291A"/>
    <w:rsid w:val="00A9327B"/>
    <w:rsid w:val="00A9328F"/>
    <w:rsid w:val="00A93610"/>
    <w:rsid w:val="00A93B69"/>
    <w:rsid w:val="00A947A1"/>
    <w:rsid w:val="00A95082"/>
    <w:rsid w:val="00A951A4"/>
    <w:rsid w:val="00A95F6F"/>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0F43"/>
    <w:rsid w:val="00AC109B"/>
    <w:rsid w:val="00AC1414"/>
    <w:rsid w:val="00AC173D"/>
    <w:rsid w:val="00AC254D"/>
    <w:rsid w:val="00AC2896"/>
    <w:rsid w:val="00AC28D4"/>
    <w:rsid w:val="00AC2B97"/>
    <w:rsid w:val="00AC2C84"/>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A4D"/>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DB"/>
    <w:rsid w:val="00BB7DDF"/>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0B56"/>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9CE"/>
    <w:rsid w:val="00BF1F04"/>
    <w:rsid w:val="00BF2B6F"/>
    <w:rsid w:val="00BF2F19"/>
    <w:rsid w:val="00BF326B"/>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2789D"/>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61AE"/>
    <w:rsid w:val="00C67700"/>
    <w:rsid w:val="00C67EAB"/>
    <w:rsid w:val="00C67FA1"/>
    <w:rsid w:val="00C70DFF"/>
    <w:rsid w:val="00C71042"/>
    <w:rsid w:val="00C71271"/>
    <w:rsid w:val="00C71A97"/>
    <w:rsid w:val="00C725C9"/>
    <w:rsid w:val="00C726BC"/>
    <w:rsid w:val="00C72BD5"/>
    <w:rsid w:val="00C7368D"/>
    <w:rsid w:val="00C737CC"/>
    <w:rsid w:val="00C744EC"/>
    <w:rsid w:val="00C74A6F"/>
    <w:rsid w:val="00C75162"/>
    <w:rsid w:val="00C75A6B"/>
    <w:rsid w:val="00C75AF9"/>
    <w:rsid w:val="00C75B76"/>
    <w:rsid w:val="00C75EF5"/>
    <w:rsid w:val="00C763B6"/>
    <w:rsid w:val="00C7644F"/>
    <w:rsid w:val="00C768F6"/>
    <w:rsid w:val="00C770F3"/>
    <w:rsid w:val="00C774FB"/>
    <w:rsid w:val="00C80073"/>
    <w:rsid w:val="00C80538"/>
    <w:rsid w:val="00C809B3"/>
    <w:rsid w:val="00C809BC"/>
    <w:rsid w:val="00C80C52"/>
    <w:rsid w:val="00C80D49"/>
    <w:rsid w:val="00C80DEA"/>
    <w:rsid w:val="00C832AE"/>
    <w:rsid w:val="00C832DC"/>
    <w:rsid w:val="00C8377F"/>
    <w:rsid w:val="00C8502B"/>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D82"/>
    <w:rsid w:val="00CE1FC5"/>
    <w:rsid w:val="00CE26A3"/>
    <w:rsid w:val="00CE324B"/>
    <w:rsid w:val="00CE35E8"/>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17"/>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937"/>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B1"/>
    <w:rsid w:val="00D82437"/>
    <w:rsid w:val="00D82494"/>
    <w:rsid w:val="00D83463"/>
    <w:rsid w:val="00D83AE9"/>
    <w:rsid w:val="00D84BA8"/>
    <w:rsid w:val="00D84ECC"/>
    <w:rsid w:val="00D854EC"/>
    <w:rsid w:val="00D855B9"/>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3B95"/>
    <w:rsid w:val="00D945A1"/>
    <w:rsid w:val="00D95104"/>
    <w:rsid w:val="00D9534A"/>
    <w:rsid w:val="00D955BE"/>
    <w:rsid w:val="00D9560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146"/>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2025"/>
    <w:rsid w:val="00DD22EA"/>
    <w:rsid w:val="00DD23A0"/>
    <w:rsid w:val="00DD2A7E"/>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3F9"/>
    <w:rsid w:val="00DE5D60"/>
    <w:rsid w:val="00DE5E32"/>
    <w:rsid w:val="00DE6344"/>
    <w:rsid w:val="00DE6402"/>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7E1"/>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D5A"/>
    <w:rsid w:val="00E56619"/>
    <w:rsid w:val="00E56665"/>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5AB"/>
    <w:rsid w:val="00E8519F"/>
    <w:rsid w:val="00E85217"/>
    <w:rsid w:val="00E85426"/>
    <w:rsid w:val="00E855CD"/>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5F5E"/>
    <w:rsid w:val="00EA61F6"/>
    <w:rsid w:val="00EA65AD"/>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977"/>
    <w:rsid w:val="00EE7B8B"/>
    <w:rsid w:val="00EF0266"/>
    <w:rsid w:val="00EF0348"/>
    <w:rsid w:val="00EF04E3"/>
    <w:rsid w:val="00EF0862"/>
    <w:rsid w:val="00EF0A2F"/>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5B7F"/>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7DD"/>
    <w:rsid w:val="00F608E3"/>
    <w:rsid w:val="00F60BC5"/>
    <w:rsid w:val="00F60BE9"/>
    <w:rsid w:val="00F60EB2"/>
    <w:rsid w:val="00F61267"/>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BA2"/>
    <w:rsid w:val="00F85FD2"/>
    <w:rsid w:val="00F86390"/>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305A"/>
    <w:rsid w:val="00FB30FC"/>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22841BE-6A15-4E71-A5A4-1BCD57A3526E}">
  <ds:schemaRefs>
    <ds:schemaRef ds:uri="http://schemas.openxmlformats.org/officeDocument/2006/bibliography"/>
  </ds:schemaRefs>
</ds:datastoreItem>
</file>

<file path=customXml/itemProps2.xml><?xml version="1.0" encoding="utf-8"?>
<ds:datastoreItem xmlns:ds="http://schemas.openxmlformats.org/officeDocument/2006/customXml" ds:itemID="{E42A6236-5E1D-4707-8B2F-76857E3F5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5317</Words>
  <Characters>30310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35556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2</cp:revision>
  <cp:lastPrinted>2016-05-13T20:14:00Z</cp:lastPrinted>
  <dcterms:created xsi:type="dcterms:W3CDTF">2020-08-07T07:01:00Z</dcterms:created>
  <dcterms:modified xsi:type="dcterms:W3CDTF">2020-08-07T07:01:00Z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